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477" w:rsidRPr="00CD7ED9" w:rsidRDefault="00FD1477" w:rsidP="00FD1477">
      <w:pPr>
        <w:spacing w:line="276" w:lineRule="auto"/>
        <w:rPr>
          <w:rFonts w:ascii="方正小标宋简体" w:eastAsia="方正小标宋简体"/>
          <w:b/>
          <w:sz w:val="44"/>
          <w:szCs w:val="44"/>
        </w:rPr>
      </w:pPr>
      <w:r w:rsidRPr="00CD7ED9">
        <w:rPr>
          <w:rFonts w:ascii="方正小标宋简体" w:eastAsia="方正小标宋简体"/>
          <w:b/>
          <w:sz w:val="44"/>
          <w:szCs w:val="44"/>
        </w:rPr>
        <w:t>湖南省大学生研究性学习和创新性实验计划</w:t>
      </w:r>
    </w:p>
    <w:p w:rsidR="00FD1477" w:rsidRPr="00CD7ED9" w:rsidRDefault="00FD1477" w:rsidP="00FD1477">
      <w:pPr>
        <w:spacing w:line="276" w:lineRule="auto"/>
        <w:jc w:val="center"/>
        <w:rPr>
          <w:rFonts w:ascii="方正小标宋简体" w:eastAsia="方正小标宋简体"/>
          <w:b/>
          <w:sz w:val="44"/>
          <w:szCs w:val="44"/>
        </w:rPr>
      </w:pPr>
      <w:r w:rsidRPr="00CD7ED9">
        <w:rPr>
          <w:rFonts w:ascii="方正小标宋简体" w:eastAsia="方正小标宋简体"/>
          <w:b/>
          <w:sz w:val="44"/>
          <w:szCs w:val="44"/>
        </w:rPr>
        <w:t>项　 目　 申　 报　 表</w:t>
      </w:r>
    </w:p>
    <w:p w:rsidR="00FD1477" w:rsidRPr="000D76A2" w:rsidRDefault="00FD1477" w:rsidP="00FD1477">
      <w:pPr>
        <w:snapToGrid w:val="0"/>
        <w:jc w:val="center"/>
        <w:rPr>
          <w:rFonts w:eastAsia="仿宋_GB2312"/>
        </w:rPr>
      </w:pPr>
    </w:p>
    <w:tbl>
      <w:tblPr>
        <w:tblW w:w="90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1828"/>
        <w:gridCol w:w="687"/>
        <w:gridCol w:w="1363"/>
        <w:gridCol w:w="1097"/>
        <w:gridCol w:w="692"/>
        <w:gridCol w:w="1695"/>
      </w:tblGrid>
      <w:tr w:rsidR="00FD1477" w:rsidRPr="00100833" w:rsidTr="000F52A1">
        <w:trPr>
          <w:trHeight w:val="741"/>
        </w:trPr>
        <w:tc>
          <w:tcPr>
            <w:tcW w:w="9000" w:type="dxa"/>
            <w:gridSpan w:val="7"/>
            <w:vAlign w:val="center"/>
          </w:tcPr>
          <w:p w:rsidR="00FD1477" w:rsidRPr="007531DB" w:rsidRDefault="00FD1477" w:rsidP="000F52A1">
            <w:pPr>
              <w:snapToGrid w:val="0"/>
              <w:ind w:left="180"/>
              <w:rPr>
                <w:color w:val="000000"/>
                <w:sz w:val="24"/>
              </w:rPr>
            </w:pPr>
            <w:r w:rsidRPr="00100833">
              <w:rPr>
                <w:sz w:val="24"/>
              </w:rPr>
              <w:t>项目名称</w:t>
            </w:r>
            <w:r>
              <w:rPr>
                <w:rFonts w:hint="eastAsia"/>
                <w:sz w:val="24"/>
              </w:rPr>
              <w:t>：</w:t>
            </w:r>
            <w:r>
              <w:rPr>
                <w:rFonts w:hint="eastAsia"/>
                <w:sz w:val="24"/>
              </w:rPr>
              <w:t xml:space="preserve">         </w:t>
            </w:r>
            <w:r>
              <w:rPr>
                <w:rFonts w:hint="eastAsia"/>
                <w:color w:val="000000"/>
                <w:sz w:val="24"/>
              </w:rPr>
              <w:t>不同育苗方式对烤烟生理指标及品质的影响</w:t>
            </w:r>
          </w:p>
        </w:tc>
      </w:tr>
      <w:tr w:rsidR="00FD1477" w:rsidRPr="00100833" w:rsidTr="000F52A1">
        <w:trPr>
          <w:trHeight w:val="640"/>
        </w:trPr>
        <w:tc>
          <w:tcPr>
            <w:tcW w:w="1638" w:type="dxa"/>
            <w:vAlign w:val="center"/>
          </w:tcPr>
          <w:p w:rsidR="00FD1477" w:rsidRPr="00100833" w:rsidRDefault="00FD1477" w:rsidP="000F52A1">
            <w:pPr>
              <w:snapToGrid w:val="0"/>
              <w:ind w:left="180"/>
              <w:rPr>
                <w:sz w:val="24"/>
              </w:rPr>
            </w:pPr>
            <w:r w:rsidRPr="00100833">
              <w:rPr>
                <w:sz w:val="24"/>
              </w:rPr>
              <w:t>学校名称</w:t>
            </w:r>
          </w:p>
        </w:tc>
        <w:tc>
          <w:tcPr>
            <w:tcW w:w="7361" w:type="dxa"/>
            <w:gridSpan w:val="6"/>
            <w:vAlign w:val="center"/>
          </w:tcPr>
          <w:p w:rsidR="00FD1477" w:rsidRPr="00100833" w:rsidRDefault="00FD1477" w:rsidP="000F52A1">
            <w:pPr>
              <w:snapToGrid w:val="0"/>
              <w:ind w:firstLineChars="700" w:firstLine="1680"/>
              <w:rPr>
                <w:sz w:val="24"/>
              </w:rPr>
            </w:pPr>
            <w:r>
              <w:rPr>
                <w:rFonts w:hint="eastAsia"/>
                <w:sz w:val="24"/>
              </w:rPr>
              <w:t>湖南农业大学东方科技学院</w:t>
            </w:r>
          </w:p>
        </w:tc>
      </w:tr>
      <w:tr w:rsidR="00FD1477" w:rsidRPr="00100833" w:rsidTr="000F52A1">
        <w:trPr>
          <w:trHeight w:val="741"/>
        </w:trPr>
        <w:tc>
          <w:tcPr>
            <w:tcW w:w="1638" w:type="dxa"/>
            <w:vAlign w:val="center"/>
          </w:tcPr>
          <w:p w:rsidR="00FD1477" w:rsidRPr="00100833" w:rsidRDefault="00FD1477" w:rsidP="000F52A1">
            <w:pPr>
              <w:snapToGrid w:val="0"/>
              <w:ind w:left="180"/>
              <w:rPr>
                <w:sz w:val="24"/>
              </w:rPr>
            </w:pPr>
            <w:r w:rsidRPr="00100833">
              <w:rPr>
                <w:sz w:val="24"/>
              </w:rPr>
              <w:t>学生姓名</w:t>
            </w:r>
          </w:p>
        </w:tc>
        <w:tc>
          <w:tcPr>
            <w:tcW w:w="1828" w:type="dxa"/>
            <w:vAlign w:val="center"/>
          </w:tcPr>
          <w:p w:rsidR="00FD1477" w:rsidRPr="00100833" w:rsidRDefault="00FD1477" w:rsidP="000F52A1">
            <w:pPr>
              <w:snapToGrid w:val="0"/>
              <w:jc w:val="center"/>
              <w:rPr>
                <w:sz w:val="24"/>
              </w:rPr>
            </w:pPr>
            <w:r w:rsidRPr="00100833">
              <w:rPr>
                <w:sz w:val="24"/>
              </w:rPr>
              <w:t>学</w:t>
            </w:r>
            <w:r w:rsidRPr="00100833">
              <w:rPr>
                <w:sz w:val="24"/>
              </w:rPr>
              <w:t xml:space="preserve">  </w:t>
            </w:r>
            <w:r w:rsidRPr="00100833">
              <w:rPr>
                <w:sz w:val="24"/>
              </w:rPr>
              <w:t>号</w:t>
            </w:r>
          </w:p>
        </w:tc>
        <w:tc>
          <w:tcPr>
            <w:tcW w:w="2050" w:type="dxa"/>
            <w:gridSpan w:val="2"/>
            <w:vAlign w:val="center"/>
          </w:tcPr>
          <w:p w:rsidR="00FD1477" w:rsidRPr="00100833" w:rsidRDefault="00FD1477" w:rsidP="000F52A1">
            <w:pPr>
              <w:snapToGrid w:val="0"/>
              <w:jc w:val="center"/>
              <w:rPr>
                <w:sz w:val="24"/>
              </w:rPr>
            </w:pPr>
            <w:r w:rsidRPr="00100833">
              <w:rPr>
                <w:sz w:val="24"/>
              </w:rPr>
              <w:t>专</w:t>
            </w:r>
            <w:r w:rsidRPr="00100833">
              <w:rPr>
                <w:sz w:val="24"/>
              </w:rPr>
              <w:t xml:space="preserve">      </w:t>
            </w:r>
            <w:r w:rsidRPr="00100833">
              <w:rPr>
                <w:sz w:val="24"/>
              </w:rPr>
              <w:t>业</w:t>
            </w:r>
          </w:p>
        </w:tc>
        <w:tc>
          <w:tcPr>
            <w:tcW w:w="1097" w:type="dxa"/>
            <w:vAlign w:val="center"/>
          </w:tcPr>
          <w:p w:rsidR="00FD1477" w:rsidRPr="00100833" w:rsidRDefault="00FD1477" w:rsidP="000F52A1">
            <w:pPr>
              <w:snapToGrid w:val="0"/>
              <w:jc w:val="center"/>
              <w:rPr>
                <w:sz w:val="24"/>
              </w:rPr>
            </w:pPr>
            <w:r w:rsidRPr="00100833">
              <w:rPr>
                <w:sz w:val="24"/>
              </w:rPr>
              <w:t>性</w:t>
            </w:r>
            <w:r w:rsidRPr="00100833">
              <w:rPr>
                <w:sz w:val="24"/>
              </w:rPr>
              <w:t xml:space="preserve"> </w:t>
            </w:r>
            <w:r w:rsidRPr="00100833">
              <w:rPr>
                <w:sz w:val="24"/>
              </w:rPr>
              <w:t>别</w:t>
            </w:r>
          </w:p>
        </w:tc>
        <w:tc>
          <w:tcPr>
            <w:tcW w:w="2387" w:type="dxa"/>
            <w:gridSpan w:val="2"/>
            <w:vAlign w:val="center"/>
          </w:tcPr>
          <w:p w:rsidR="00FD1477" w:rsidRPr="00100833" w:rsidRDefault="00FD1477" w:rsidP="000F52A1">
            <w:pPr>
              <w:snapToGrid w:val="0"/>
              <w:jc w:val="center"/>
              <w:rPr>
                <w:sz w:val="24"/>
              </w:rPr>
            </w:pPr>
            <w:r w:rsidRPr="00100833">
              <w:rPr>
                <w:sz w:val="24"/>
              </w:rPr>
              <w:t>入</w:t>
            </w:r>
            <w:r w:rsidRPr="00100833">
              <w:rPr>
                <w:sz w:val="24"/>
              </w:rPr>
              <w:t xml:space="preserve"> </w:t>
            </w:r>
            <w:r w:rsidRPr="00100833">
              <w:rPr>
                <w:sz w:val="24"/>
              </w:rPr>
              <w:t>学</w:t>
            </w:r>
            <w:r w:rsidRPr="00100833">
              <w:rPr>
                <w:sz w:val="24"/>
              </w:rPr>
              <w:t xml:space="preserve"> </w:t>
            </w:r>
            <w:r w:rsidRPr="00100833">
              <w:rPr>
                <w:sz w:val="24"/>
              </w:rPr>
              <w:t>年</w:t>
            </w:r>
            <w:r w:rsidRPr="00100833">
              <w:rPr>
                <w:sz w:val="24"/>
              </w:rPr>
              <w:t xml:space="preserve"> </w:t>
            </w:r>
            <w:r w:rsidRPr="00100833">
              <w:rPr>
                <w:sz w:val="24"/>
              </w:rPr>
              <w:t>份</w:t>
            </w:r>
          </w:p>
        </w:tc>
      </w:tr>
      <w:tr w:rsidR="00FD1477" w:rsidRPr="00100833" w:rsidTr="000F52A1">
        <w:trPr>
          <w:trHeight w:val="741"/>
        </w:trPr>
        <w:tc>
          <w:tcPr>
            <w:tcW w:w="1638" w:type="dxa"/>
            <w:vAlign w:val="center"/>
          </w:tcPr>
          <w:p w:rsidR="00FD1477" w:rsidRPr="007F1DA9" w:rsidRDefault="00FD1477" w:rsidP="000F52A1">
            <w:pPr>
              <w:snapToGrid w:val="0"/>
              <w:ind w:left="180"/>
              <w:jc w:val="center"/>
              <w:rPr>
                <w:sz w:val="24"/>
              </w:rPr>
            </w:pPr>
            <w:r w:rsidRPr="007F1DA9">
              <w:rPr>
                <w:rFonts w:hint="eastAsia"/>
                <w:sz w:val="24"/>
              </w:rPr>
              <w:t>李一啸</w:t>
            </w:r>
          </w:p>
        </w:tc>
        <w:tc>
          <w:tcPr>
            <w:tcW w:w="1828" w:type="dxa"/>
            <w:vAlign w:val="center"/>
          </w:tcPr>
          <w:p w:rsidR="00FD1477" w:rsidRPr="007F1DA9" w:rsidRDefault="00FD1477" w:rsidP="000F52A1">
            <w:pPr>
              <w:snapToGrid w:val="0"/>
              <w:rPr>
                <w:sz w:val="24"/>
              </w:rPr>
            </w:pPr>
            <w:r w:rsidRPr="007F1DA9">
              <w:rPr>
                <w:rFonts w:hint="eastAsia"/>
                <w:sz w:val="24"/>
              </w:rPr>
              <w:t>201541904219</w:t>
            </w:r>
          </w:p>
        </w:tc>
        <w:tc>
          <w:tcPr>
            <w:tcW w:w="2050" w:type="dxa"/>
            <w:gridSpan w:val="2"/>
            <w:vAlign w:val="center"/>
          </w:tcPr>
          <w:p w:rsidR="00FD1477" w:rsidRPr="007F1DA9" w:rsidRDefault="00FD1477" w:rsidP="000F52A1">
            <w:pPr>
              <w:snapToGrid w:val="0"/>
              <w:jc w:val="center"/>
              <w:rPr>
                <w:sz w:val="24"/>
              </w:rPr>
            </w:pPr>
            <w:r w:rsidRPr="007F1DA9">
              <w:rPr>
                <w:rFonts w:hint="eastAsia"/>
                <w:sz w:val="24"/>
              </w:rPr>
              <w:t>园</w:t>
            </w:r>
            <w:r>
              <w:rPr>
                <w:rFonts w:hint="eastAsia"/>
                <w:sz w:val="24"/>
              </w:rPr>
              <w:t xml:space="preserve"> </w:t>
            </w:r>
            <w:r w:rsidRPr="007F1DA9">
              <w:rPr>
                <w:rFonts w:hint="eastAsia"/>
                <w:sz w:val="24"/>
              </w:rPr>
              <w:t>林</w:t>
            </w:r>
          </w:p>
        </w:tc>
        <w:tc>
          <w:tcPr>
            <w:tcW w:w="1097" w:type="dxa"/>
            <w:vAlign w:val="center"/>
          </w:tcPr>
          <w:p w:rsidR="00FD1477" w:rsidRPr="007F1DA9" w:rsidRDefault="00FD1477" w:rsidP="000F52A1">
            <w:pPr>
              <w:snapToGrid w:val="0"/>
              <w:ind w:leftChars="-32" w:left="10" w:hangingChars="32" w:hanging="77"/>
              <w:jc w:val="center"/>
              <w:rPr>
                <w:sz w:val="24"/>
              </w:rPr>
            </w:pPr>
            <w:r w:rsidRPr="007F1DA9">
              <w:rPr>
                <w:rFonts w:hint="eastAsia"/>
                <w:sz w:val="24"/>
              </w:rPr>
              <w:t>男</w:t>
            </w:r>
          </w:p>
        </w:tc>
        <w:tc>
          <w:tcPr>
            <w:tcW w:w="2387" w:type="dxa"/>
            <w:gridSpan w:val="2"/>
            <w:vAlign w:val="center"/>
          </w:tcPr>
          <w:p w:rsidR="00FD1477" w:rsidRPr="007F1DA9" w:rsidRDefault="00FD1477" w:rsidP="000F52A1">
            <w:pPr>
              <w:snapToGrid w:val="0"/>
              <w:ind w:firstLineChars="250" w:firstLine="600"/>
              <w:rPr>
                <w:sz w:val="24"/>
              </w:rPr>
            </w:pPr>
            <w:r w:rsidRPr="007F1DA9">
              <w:rPr>
                <w:rFonts w:hint="eastAsia"/>
                <w:sz w:val="24"/>
              </w:rPr>
              <w:t>2015</w:t>
            </w:r>
            <w:r w:rsidRPr="007F1DA9">
              <w:rPr>
                <w:rFonts w:hint="eastAsia"/>
                <w:sz w:val="24"/>
              </w:rPr>
              <w:t>年</w:t>
            </w:r>
          </w:p>
        </w:tc>
      </w:tr>
      <w:tr w:rsidR="00FD1477" w:rsidRPr="00100833" w:rsidTr="000F52A1">
        <w:trPr>
          <w:trHeight w:val="741"/>
        </w:trPr>
        <w:tc>
          <w:tcPr>
            <w:tcW w:w="1638" w:type="dxa"/>
            <w:vAlign w:val="center"/>
          </w:tcPr>
          <w:p w:rsidR="00FD1477" w:rsidRPr="007F1DA9" w:rsidRDefault="00FD1477" w:rsidP="000F52A1">
            <w:pPr>
              <w:snapToGrid w:val="0"/>
              <w:ind w:left="180"/>
              <w:jc w:val="center"/>
              <w:rPr>
                <w:sz w:val="24"/>
              </w:rPr>
            </w:pPr>
            <w:r w:rsidRPr="007F1DA9">
              <w:rPr>
                <w:rFonts w:hint="eastAsia"/>
                <w:sz w:val="24"/>
              </w:rPr>
              <w:t>李</w:t>
            </w:r>
            <w:r w:rsidRPr="007F1DA9">
              <w:rPr>
                <w:rFonts w:hint="eastAsia"/>
                <w:sz w:val="24"/>
              </w:rPr>
              <w:t xml:space="preserve">  </w:t>
            </w:r>
            <w:r w:rsidRPr="007F1DA9">
              <w:rPr>
                <w:rFonts w:hint="eastAsia"/>
                <w:sz w:val="24"/>
              </w:rPr>
              <w:t>彤</w:t>
            </w:r>
          </w:p>
        </w:tc>
        <w:tc>
          <w:tcPr>
            <w:tcW w:w="1828" w:type="dxa"/>
            <w:vAlign w:val="center"/>
          </w:tcPr>
          <w:p w:rsidR="00FD1477" w:rsidRPr="007F1DA9" w:rsidRDefault="00FD1477" w:rsidP="000F52A1">
            <w:pPr>
              <w:snapToGrid w:val="0"/>
              <w:rPr>
                <w:sz w:val="24"/>
              </w:rPr>
            </w:pPr>
            <w:r w:rsidRPr="007F1DA9">
              <w:rPr>
                <w:rFonts w:hint="eastAsia"/>
                <w:sz w:val="24"/>
              </w:rPr>
              <w:t>201541904423</w:t>
            </w:r>
          </w:p>
        </w:tc>
        <w:tc>
          <w:tcPr>
            <w:tcW w:w="2050" w:type="dxa"/>
            <w:gridSpan w:val="2"/>
            <w:vAlign w:val="center"/>
          </w:tcPr>
          <w:p w:rsidR="00FD1477" w:rsidRPr="007F1DA9" w:rsidRDefault="00FD1477" w:rsidP="000F52A1">
            <w:pPr>
              <w:snapToGrid w:val="0"/>
              <w:jc w:val="center"/>
              <w:rPr>
                <w:sz w:val="24"/>
              </w:rPr>
            </w:pPr>
            <w:r w:rsidRPr="007F1DA9">
              <w:rPr>
                <w:rFonts w:hint="eastAsia"/>
                <w:sz w:val="24"/>
              </w:rPr>
              <w:t>园</w:t>
            </w:r>
            <w:r>
              <w:rPr>
                <w:rFonts w:hint="eastAsia"/>
                <w:sz w:val="24"/>
              </w:rPr>
              <w:t xml:space="preserve"> </w:t>
            </w:r>
            <w:r w:rsidRPr="007F1DA9">
              <w:rPr>
                <w:rFonts w:hint="eastAsia"/>
                <w:sz w:val="24"/>
              </w:rPr>
              <w:t>林</w:t>
            </w:r>
          </w:p>
        </w:tc>
        <w:tc>
          <w:tcPr>
            <w:tcW w:w="1097" w:type="dxa"/>
            <w:vAlign w:val="center"/>
          </w:tcPr>
          <w:p w:rsidR="00FD1477" w:rsidRPr="007F1DA9" w:rsidRDefault="00FD1477" w:rsidP="000F52A1">
            <w:pPr>
              <w:snapToGrid w:val="0"/>
              <w:ind w:leftChars="-32" w:left="10" w:hangingChars="32" w:hanging="77"/>
              <w:jc w:val="center"/>
              <w:rPr>
                <w:sz w:val="24"/>
              </w:rPr>
            </w:pPr>
            <w:r w:rsidRPr="007F1DA9">
              <w:rPr>
                <w:rFonts w:hint="eastAsia"/>
                <w:sz w:val="24"/>
              </w:rPr>
              <w:t>女</w:t>
            </w:r>
          </w:p>
        </w:tc>
        <w:tc>
          <w:tcPr>
            <w:tcW w:w="2387" w:type="dxa"/>
            <w:gridSpan w:val="2"/>
            <w:vAlign w:val="center"/>
          </w:tcPr>
          <w:p w:rsidR="00FD1477" w:rsidRPr="007F1DA9" w:rsidRDefault="00FD1477" w:rsidP="000F52A1">
            <w:pPr>
              <w:snapToGrid w:val="0"/>
              <w:ind w:firstLineChars="250" w:firstLine="600"/>
              <w:rPr>
                <w:sz w:val="24"/>
              </w:rPr>
            </w:pPr>
            <w:r w:rsidRPr="007F1DA9">
              <w:rPr>
                <w:rFonts w:hint="eastAsia"/>
                <w:sz w:val="24"/>
              </w:rPr>
              <w:t>2015</w:t>
            </w:r>
            <w:r w:rsidRPr="007F1DA9">
              <w:rPr>
                <w:rFonts w:hint="eastAsia"/>
                <w:sz w:val="24"/>
              </w:rPr>
              <w:t>年</w:t>
            </w:r>
          </w:p>
        </w:tc>
      </w:tr>
      <w:tr w:rsidR="00FD1477" w:rsidRPr="00100833" w:rsidTr="000F52A1">
        <w:trPr>
          <w:trHeight w:val="741"/>
        </w:trPr>
        <w:tc>
          <w:tcPr>
            <w:tcW w:w="1638" w:type="dxa"/>
            <w:vAlign w:val="center"/>
          </w:tcPr>
          <w:p w:rsidR="00FD1477" w:rsidRPr="007F1DA9" w:rsidRDefault="00FD1477" w:rsidP="000F52A1">
            <w:pPr>
              <w:snapToGrid w:val="0"/>
              <w:ind w:left="180"/>
              <w:jc w:val="center"/>
              <w:rPr>
                <w:sz w:val="24"/>
              </w:rPr>
            </w:pPr>
            <w:r w:rsidRPr="007F1DA9">
              <w:rPr>
                <w:rFonts w:hint="eastAsia"/>
                <w:sz w:val="24"/>
              </w:rPr>
              <w:t>张芸萍</w:t>
            </w:r>
          </w:p>
        </w:tc>
        <w:tc>
          <w:tcPr>
            <w:tcW w:w="1828" w:type="dxa"/>
            <w:vAlign w:val="center"/>
          </w:tcPr>
          <w:p w:rsidR="00FD1477" w:rsidRPr="007F1DA9" w:rsidRDefault="00FD1477" w:rsidP="000F52A1">
            <w:pPr>
              <w:snapToGrid w:val="0"/>
              <w:rPr>
                <w:sz w:val="24"/>
              </w:rPr>
            </w:pPr>
            <w:r>
              <w:rPr>
                <w:rFonts w:hint="eastAsia"/>
                <w:sz w:val="24"/>
              </w:rPr>
              <w:t>201441932112</w:t>
            </w:r>
          </w:p>
        </w:tc>
        <w:tc>
          <w:tcPr>
            <w:tcW w:w="2050" w:type="dxa"/>
            <w:gridSpan w:val="2"/>
            <w:vAlign w:val="center"/>
          </w:tcPr>
          <w:p w:rsidR="00FD1477" w:rsidRPr="007F1DA9" w:rsidRDefault="00FD1477" w:rsidP="000F52A1">
            <w:pPr>
              <w:snapToGrid w:val="0"/>
              <w:jc w:val="center"/>
              <w:rPr>
                <w:sz w:val="24"/>
              </w:rPr>
            </w:pPr>
            <w:r>
              <w:rPr>
                <w:rFonts w:hint="eastAsia"/>
                <w:sz w:val="24"/>
              </w:rPr>
              <w:t>烟</w:t>
            </w:r>
            <w:r>
              <w:rPr>
                <w:rFonts w:hint="eastAsia"/>
                <w:sz w:val="24"/>
              </w:rPr>
              <w:t xml:space="preserve"> </w:t>
            </w:r>
            <w:r>
              <w:rPr>
                <w:rFonts w:hint="eastAsia"/>
                <w:sz w:val="24"/>
              </w:rPr>
              <w:t>草</w:t>
            </w:r>
          </w:p>
        </w:tc>
        <w:tc>
          <w:tcPr>
            <w:tcW w:w="1097" w:type="dxa"/>
            <w:vAlign w:val="center"/>
          </w:tcPr>
          <w:p w:rsidR="00FD1477" w:rsidRPr="007F1DA9" w:rsidRDefault="00FD1477" w:rsidP="000F52A1">
            <w:pPr>
              <w:snapToGrid w:val="0"/>
              <w:ind w:leftChars="-32" w:left="10" w:hangingChars="32" w:hanging="77"/>
              <w:jc w:val="center"/>
              <w:rPr>
                <w:sz w:val="24"/>
              </w:rPr>
            </w:pPr>
            <w:r>
              <w:rPr>
                <w:rFonts w:hint="eastAsia"/>
                <w:sz w:val="24"/>
              </w:rPr>
              <w:t>女</w:t>
            </w:r>
          </w:p>
        </w:tc>
        <w:tc>
          <w:tcPr>
            <w:tcW w:w="2387" w:type="dxa"/>
            <w:gridSpan w:val="2"/>
            <w:vAlign w:val="center"/>
          </w:tcPr>
          <w:p w:rsidR="00FD1477" w:rsidRPr="007F1DA9" w:rsidRDefault="00FD1477" w:rsidP="000F52A1">
            <w:pPr>
              <w:snapToGrid w:val="0"/>
              <w:ind w:firstLineChars="250" w:firstLine="600"/>
              <w:rPr>
                <w:sz w:val="24"/>
              </w:rPr>
            </w:pPr>
            <w:r>
              <w:rPr>
                <w:rFonts w:hint="eastAsia"/>
                <w:sz w:val="24"/>
              </w:rPr>
              <w:t>2014</w:t>
            </w:r>
            <w:r>
              <w:rPr>
                <w:rFonts w:hint="eastAsia"/>
                <w:sz w:val="24"/>
              </w:rPr>
              <w:t>年</w:t>
            </w:r>
          </w:p>
        </w:tc>
      </w:tr>
      <w:tr w:rsidR="00FD1477" w:rsidRPr="00100833" w:rsidTr="000F52A1">
        <w:trPr>
          <w:trHeight w:val="741"/>
        </w:trPr>
        <w:tc>
          <w:tcPr>
            <w:tcW w:w="1638" w:type="dxa"/>
            <w:vAlign w:val="center"/>
          </w:tcPr>
          <w:p w:rsidR="00FD1477" w:rsidRPr="007F1DA9" w:rsidRDefault="00FD1477" w:rsidP="000F52A1">
            <w:pPr>
              <w:snapToGrid w:val="0"/>
              <w:ind w:left="180"/>
              <w:jc w:val="center"/>
              <w:rPr>
                <w:sz w:val="24"/>
              </w:rPr>
            </w:pPr>
            <w:r>
              <w:rPr>
                <w:rFonts w:hint="eastAsia"/>
                <w:sz w:val="24"/>
              </w:rPr>
              <w:t>周鑫吉</w:t>
            </w:r>
          </w:p>
        </w:tc>
        <w:tc>
          <w:tcPr>
            <w:tcW w:w="1828" w:type="dxa"/>
            <w:vAlign w:val="center"/>
          </w:tcPr>
          <w:p w:rsidR="00FD1477" w:rsidRPr="007F1DA9" w:rsidRDefault="00FD1477" w:rsidP="000F52A1">
            <w:pPr>
              <w:snapToGrid w:val="0"/>
              <w:rPr>
                <w:sz w:val="24"/>
              </w:rPr>
            </w:pPr>
            <w:r w:rsidRPr="007F1DA9">
              <w:rPr>
                <w:rFonts w:hint="eastAsia"/>
                <w:sz w:val="24"/>
              </w:rPr>
              <w:t>201</w:t>
            </w:r>
            <w:r>
              <w:rPr>
                <w:rFonts w:hint="eastAsia"/>
                <w:sz w:val="24"/>
              </w:rPr>
              <w:t>641936123</w:t>
            </w:r>
          </w:p>
        </w:tc>
        <w:tc>
          <w:tcPr>
            <w:tcW w:w="2050" w:type="dxa"/>
            <w:gridSpan w:val="2"/>
            <w:vAlign w:val="center"/>
          </w:tcPr>
          <w:p w:rsidR="00FD1477" w:rsidRPr="007F1DA9" w:rsidRDefault="00FD1477" w:rsidP="000F52A1">
            <w:pPr>
              <w:snapToGrid w:val="0"/>
              <w:jc w:val="center"/>
              <w:rPr>
                <w:sz w:val="24"/>
              </w:rPr>
            </w:pPr>
            <w:r w:rsidRPr="00327D8A">
              <w:rPr>
                <w:rFonts w:hint="eastAsia"/>
                <w:sz w:val="24"/>
              </w:rPr>
              <w:t>食品质量与安全</w:t>
            </w:r>
          </w:p>
        </w:tc>
        <w:tc>
          <w:tcPr>
            <w:tcW w:w="1097" w:type="dxa"/>
            <w:vAlign w:val="center"/>
          </w:tcPr>
          <w:p w:rsidR="00FD1477" w:rsidRPr="007F1DA9" w:rsidRDefault="00FD1477" w:rsidP="000F52A1">
            <w:pPr>
              <w:snapToGrid w:val="0"/>
              <w:ind w:leftChars="-32" w:left="10" w:hangingChars="32" w:hanging="77"/>
              <w:jc w:val="center"/>
              <w:rPr>
                <w:sz w:val="24"/>
              </w:rPr>
            </w:pPr>
            <w:r>
              <w:rPr>
                <w:rFonts w:hint="eastAsia"/>
                <w:sz w:val="24"/>
              </w:rPr>
              <w:t>男</w:t>
            </w:r>
          </w:p>
        </w:tc>
        <w:tc>
          <w:tcPr>
            <w:tcW w:w="2387" w:type="dxa"/>
            <w:gridSpan w:val="2"/>
            <w:vAlign w:val="center"/>
          </w:tcPr>
          <w:p w:rsidR="00FD1477" w:rsidRPr="007F1DA9" w:rsidRDefault="00FD1477" w:rsidP="000F52A1">
            <w:pPr>
              <w:snapToGrid w:val="0"/>
              <w:ind w:firstLineChars="250" w:firstLine="600"/>
              <w:rPr>
                <w:sz w:val="24"/>
              </w:rPr>
            </w:pPr>
            <w:r w:rsidRPr="007F1DA9">
              <w:rPr>
                <w:rFonts w:hint="eastAsia"/>
                <w:sz w:val="24"/>
              </w:rPr>
              <w:t>201</w:t>
            </w:r>
            <w:r>
              <w:rPr>
                <w:rFonts w:hint="eastAsia"/>
                <w:sz w:val="24"/>
              </w:rPr>
              <w:t>6</w:t>
            </w:r>
            <w:r w:rsidRPr="007F1DA9">
              <w:rPr>
                <w:rFonts w:hint="eastAsia"/>
                <w:sz w:val="24"/>
              </w:rPr>
              <w:t>年</w:t>
            </w:r>
          </w:p>
        </w:tc>
      </w:tr>
      <w:tr w:rsidR="00FD1477" w:rsidRPr="00100833" w:rsidTr="000F52A1">
        <w:trPr>
          <w:trHeight w:val="741"/>
        </w:trPr>
        <w:tc>
          <w:tcPr>
            <w:tcW w:w="1638" w:type="dxa"/>
            <w:vAlign w:val="center"/>
          </w:tcPr>
          <w:p w:rsidR="00FD1477" w:rsidRPr="007F1DA9" w:rsidRDefault="00FD1477" w:rsidP="000F52A1">
            <w:pPr>
              <w:snapToGrid w:val="0"/>
              <w:ind w:left="180"/>
              <w:jc w:val="center"/>
              <w:rPr>
                <w:rFonts w:hint="eastAsia"/>
                <w:sz w:val="24"/>
              </w:rPr>
            </w:pPr>
            <w:r>
              <w:rPr>
                <w:rFonts w:hint="eastAsia"/>
                <w:sz w:val="24"/>
              </w:rPr>
              <w:t>赖桂年</w:t>
            </w:r>
          </w:p>
        </w:tc>
        <w:tc>
          <w:tcPr>
            <w:tcW w:w="1828" w:type="dxa"/>
            <w:vAlign w:val="center"/>
          </w:tcPr>
          <w:p w:rsidR="00FD1477" w:rsidRPr="007F1DA9" w:rsidRDefault="00FD1477" w:rsidP="000F52A1">
            <w:pPr>
              <w:snapToGrid w:val="0"/>
              <w:rPr>
                <w:sz w:val="24"/>
              </w:rPr>
            </w:pPr>
            <w:r w:rsidRPr="007F1DA9">
              <w:rPr>
                <w:rFonts w:hint="eastAsia"/>
                <w:sz w:val="24"/>
              </w:rPr>
              <w:t>201</w:t>
            </w:r>
            <w:r>
              <w:rPr>
                <w:rFonts w:hint="eastAsia"/>
                <w:sz w:val="24"/>
              </w:rPr>
              <w:t>641936121</w:t>
            </w:r>
          </w:p>
        </w:tc>
        <w:tc>
          <w:tcPr>
            <w:tcW w:w="2050" w:type="dxa"/>
            <w:gridSpan w:val="2"/>
            <w:vAlign w:val="center"/>
          </w:tcPr>
          <w:p w:rsidR="00FD1477" w:rsidRPr="007F1DA9" w:rsidRDefault="00FD1477" w:rsidP="000F52A1">
            <w:pPr>
              <w:snapToGrid w:val="0"/>
              <w:jc w:val="center"/>
              <w:rPr>
                <w:rFonts w:hint="eastAsia"/>
                <w:sz w:val="24"/>
              </w:rPr>
            </w:pPr>
            <w:r w:rsidRPr="00327D8A">
              <w:rPr>
                <w:rFonts w:hint="eastAsia"/>
                <w:sz w:val="24"/>
              </w:rPr>
              <w:t>食品质量与安全</w:t>
            </w:r>
          </w:p>
        </w:tc>
        <w:tc>
          <w:tcPr>
            <w:tcW w:w="1097" w:type="dxa"/>
            <w:vAlign w:val="center"/>
          </w:tcPr>
          <w:p w:rsidR="00FD1477" w:rsidRPr="007F1DA9" w:rsidRDefault="00FD1477" w:rsidP="000F52A1">
            <w:pPr>
              <w:snapToGrid w:val="0"/>
              <w:ind w:leftChars="-32" w:left="10" w:hangingChars="32" w:hanging="77"/>
              <w:jc w:val="center"/>
              <w:rPr>
                <w:sz w:val="24"/>
              </w:rPr>
            </w:pPr>
            <w:r>
              <w:rPr>
                <w:rFonts w:hint="eastAsia"/>
                <w:sz w:val="24"/>
              </w:rPr>
              <w:t>男</w:t>
            </w:r>
          </w:p>
        </w:tc>
        <w:tc>
          <w:tcPr>
            <w:tcW w:w="2387" w:type="dxa"/>
            <w:gridSpan w:val="2"/>
            <w:vAlign w:val="center"/>
          </w:tcPr>
          <w:p w:rsidR="00FD1477" w:rsidRPr="007F1DA9" w:rsidRDefault="00FD1477" w:rsidP="000F52A1">
            <w:pPr>
              <w:snapToGrid w:val="0"/>
              <w:ind w:firstLineChars="250" w:firstLine="600"/>
              <w:rPr>
                <w:sz w:val="24"/>
              </w:rPr>
            </w:pPr>
            <w:r w:rsidRPr="007F1DA9">
              <w:rPr>
                <w:rFonts w:hint="eastAsia"/>
                <w:sz w:val="24"/>
              </w:rPr>
              <w:t>201</w:t>
            </w:r>
            <w:r>
              <w:rPr>
                <w:rFonts w:hint="eastAsia"/>
                <w:sz w:val="24"/>
              </w:rPr>
              <w:t>6</w:t>
            </w:r>
            <w:r w:rsidRPr="007F1DA9">
              <w:rPr>
                <w:rFonts w:hint="eastAsia"/>
                <w:sz w:val="24"/>
              </w:rPr>
              <w:t>年</w:t>
            </w:r>
          </w:p>
        </w:tc>
      </w:tr>
      <w:tr w:rsidR="00FD1477" w:rsidRPr="00100833" w:rsidTr="000F52A1">
        <w:trPr>
          <w:trHeight w:val="741"/>
        </w:trPr>
        <w:tc>
          <w:tcPr>
            <w:tcW w:w="1638" w:type="dxa"/>
            <w:vAlign w:val="center"/>
          </w:tcPr>
          <w:p w:rsidR="00FD1477" w:rsidRPr="00100833" w:rsidRDefault="00FD1477" w:rsidP="000F52A1">
            <w:pPr>
              <w:snapToGrid w:val="0"/>
              <w:ind w:left="180"/>
              <w:jc w:val="center"/>
              <w:rPr>
                <w:sz w:val="24"/>
              </w:rPr>
            </w:pPr>
            <w:r>
              <w:rPr>
                <w:rFonts w:hint="eastAsia"/>
                <w:sz w:val="24"/>
              </w:rPr>
              <w:t>指导老师</w:t>
            </w:r>
          </w:p>
        </w:tc>
        <w:tc>
          <w:tcPr>
            <w:tcW w:w="2515" w:type="dxa"/>
            <w:gridSpan w:val="2"/>
            <w:vAlign w:val="center"/>
          </w:tcPr>
          <w:p w:rsidR="00FD1477" w:rsidRPr="00100833" w:rsidRDefault="00FD1477" w:rsidP="000F52A1">
            <w:pPr>
              <w:snapToGrid w:val="0"/>
              <w:jc w:val="center"/>
              <w:rPr>
                <w:sz w:val="24"/>
              </w:rPr>
            </w:pPr>
            <w:r>
              <w:rPr>
                <w:rFonts w:hint="eastAsia"/>
                <w:sz w:val="24"/>
              </w:rPr>
              <w:t>杨俊兴</w:t>
            </w:r>
          </w:p>
        </w:tc>
        <w:tc>
          <w:tcPr>
            <w:tcW w:w="1363" w:type="dxa"/>
            <w:vAlign w:val="center"/>
          </w:tcPr>
          <w:p w:rsidR="00FD1477" w:rsidRPr="00100833" w:rsidRDefault="00FD1477" w:rsidP="000F52A1">
            <w:pPr>
              <w:snapToGrid w:val="0"/>
              <w:jc w:val="center"/>
              <w:rPr>
                <w:sz w:val="24"/>
              </w:rPr>
            </w:pPr>
            <w:r>
              <w:rPr>
                <w:rFonts w:hint="eastAsia"/>
                <w:sz w:val="24"/>
              </w:rPr>
              <w:t>职称</w:t>
            </w:r>
          </w:p>
        </w:tc>
        <w:tc>
          <w:tcPr>
            <w:tcW w:w="3484" w:type="dxa"/>
            <w:gridSpan w:val="3"/>
            <w:vAlign w:val="center"/>
          </w:tcPr>
          <w:p w:rsidR="00FD1477" w:rsidRPr="00100833" w:rsidRDefault="00FD1477" w:rsidP="000F52A1">
            <w:pPr>
              <w:snapToGrid w:val="0"/>
              <w:ind w:left="864"/>
              <w:rPr>
                <w:sz w:val="24"/>
              </w:rPr>
            </w:pPr>
            <w:r>
              <w:rPr>
                <w:rFonts w:hint="eastAsia"/>
                <w:sz w:val="24"/>
              </w:rPr>
              <w:t>中级</w:t>
            </w:r>
          </w:p>
        </w:tc>
      </w:tr>
      <w:tr w:rsidR="00FD1477" w:rsidRPr="00100833" w:rsidTr="000F52A1">
        <w:trPr>
          <w:trHeight w:val="741"/>
        </w:trPr>
        <w:tc>
          <w:tcPr>
            <w:tcW w:w="1638" w:type="dxa"/>
            <w:vAlign w:val="center"/>
          </w:tcPr>
          <w:p w:rsidR="00FD1477" w:rsidRPr="00100833" w:rsidRDefault="00FD1477" w:rsidP="000F52A1">
            <w:pPr>
              <w:snapToGrid w:val="0"/>
              <w:jc w:val="center"/>
              <w:rPr>
                <w:sz w:val="24"/>
              </w:rPr>
            </w:pPr>
            <w:r w:rsidRPr="00100833">
              <w:rPr>
                <w:sz w:val="24"/>
              </w:rPr>
              <w:t>项目所属</w:t>
            </w:r>
          </w:p>
          <w:p w:rsidR="00FD1477" w:rsidRPr="00100833" w:rsidRDefault="00FD1477" w:rsidP="000F52A1">
            <w:pPr>
              <w:snapToGrid w:val="0"/>
              <w:ind w:left="180"/>
              <w:rPr>
                <w:sz w:val="24"/>
              </w:rPr>
            </w:pPr>
            <w:r w:rsidRPr="00100833">
              <w:rPr>
                <w:sz w:val="24"/>
              </w:rPr>
              <w:t>一级学科</w:t>
            </w:r>
          </w:p>
        </w:tc>
        <w:tc>
          <w:tcPr>
            <w:tcW w:w="2515" w:type="dxa"/>
            <w:gridSpan w:val="2"/>
            <w:vAlign w:val="center"/>
          </w:tcPr>
          <w:p w:rsidR="00FD1477" w:rsidRPr="00100833" w:rsidRDefault="00FD1477" w:rsidP="000F52A1">
            <w:pPr>
              <w:snapToGrid w:val="0"/>
              <w:jc w:val="center"/>
              <w:rPr>
                <w:sz w:val="24"/>
              </w:rPr>
            </w:pPr>
            <w:r>
              <w:rPr>
                <w:rFonts w:hint="eastAsia"/>
                <w:sz w:val="24"/>
              </w:rPr>
              <w:t>作物学</w:t>
            </w:r>
          </w:p>
        </w:tc>
        <w:tc>
          <w:tcPr>
            <w:tcW w:w="3152" w:type="dxa"/>
            <w:gridSpan w:val="3"/>
            <w:vAlign w:val="center"/>
          </w:tcPr>
          <w:p w:rsidR="00FD1477" w:rsidRPr="00100833" w:rsidRDefault="00FD1477" w:rsidP="000F52A1">
            <w:pPr>
              <w:snapToGrid w:val="0"/>
              <w:ind w:left="180"/>
              <w:rPr>
                <w:sz w:val="24"/>
              </w:rPr>
            </w:pPr>
            <w:r w:rsidRPr="00100833">
              <w:rPr>
                <w:sz w:val="24"/>
              </w:rPr>
              <w:t>项目科类</w:t>
            </w:r>
            <w:r w:rsidRPr="00100833">
              <w:rPr>
                <w:sz w:val="24"/>
              </w:rPr>
              <w:t>(</w:t>
            </w:r>
            <w:r w:rsidRPr="00100833">
              <w:rPr>
                <w:sz w:val="24"/>
              </w:rPr>
              <w:t>理科</w:t>
            </w:r>
            <w:r w:rsidRPr="00100833">
              <w:rPr>
                <w:sz w:val="24"/>
              </w:rPr>
              <w:t>/</w:t>
            </w:r>
            <w:r w:rsidRPr="00100833">
              <w:rPr>
                <w:sz w:val="24"/>
              </w:rPr>
              <w:t>文科</w:t>
            </w:r>
            <w:r w:rsidRPr="00100833">
              <w:rPr>
                <w:sz w:val="24"/>
              </w:rPr>
              <w:t>)</w:t>
            </w:r>
          </w:p>
        </w:tc>
        <w:tc>
          <w:tcPr>
            <w:tcW w:w="1695" w:type="dxa"/>
            <w:vAlign w:val="center"/>
          </w:tcPr>
          <w:p w:rsidR="00FD1477" w:rsidRPr="00100833" w:rsidRDefault="00FD1477" w:rsidP="000F52A1">
            <w:pPr>
              <w:snapToGrid w:val="0"/>
              <w:ind w:firstLineChars="200" w:firstLine="480"/>
              <w:rPr>
                <w:sz w:val="24"/>
              </w:rPr>
            </w:pPr>
            <w:r>
              <w:rPr>
                <w:rFonts w:hint="eastAsia"/>
                <w:sz w:val="24"/>
              </w:rPr>
              <w:t>理科</w:t>
            </w:r>
          </w:p>
        </w:tc>
      </w:tr>
      <w:tr w:rsidR="00FD1477" w:rsidRPr="00100833" w:rsidTr="000F52A1">
        <w:trPr>
          <w:trHeight w:val="2680"/>
        </w:trPr>
        <w:tc>
          <w:tcPr>
            <w:tcW w:w="9000" w:type="dxa"/>
            <w:gridSpan w:val="7"/>
          </w:tcPr>
          <w:p w:rsidR="00FD1477" w:rsidRPr="00093F53" w:rsidRDefault="00FD1477" w:rsidP="000F52A1">
            <w:pPr>
              <w:snapToGrid w:val="0"/>
              <w:spacing w:line="360" w:lineRule="auto"/>
              <w:rPr>
                <w:b/>
                <w:sz w:val="24"/>
              </w:rPr>
            </w:pPr>
            <w:r w:rsidRPr="00093F53">
              <w:rPr>
                <w:b/>
                <w:sz w:val="24"/>
              </w:rPr>
              <w:t>学生曾经参与科研的情况</w:t>
            </w:r>
          </w:p>
          <w:p w:rsidR="00FD1477" w:rsidRDefault="00FD1477" w:rsidP="000F52A1">
            <w:pPr>
              <w:snapToGrid w:val="0"/>
              <w:spacing w:line="360" w:lineRule="auto"/>
              <w:ind w:firstLineChars="245" w:firstLine="590"/>
              <w:rPr>
                <w:rFonts w:hint="eastAsia"/>
                <w:sz w:val="24"/>
              </w:rPr>
            </w:pPr>
            <w:r w:rsidRPr="00152CAA">
              <w:rPr>
                <w:rFonts w:hint="eastAsia"/>
                <w:b/>
                <w:sz w:val="24"/>
              </w:rPr>
              <w:t>1</w:t>
            </w:r>
            <w:r w:rsidRPr="00152CAA">
              <w:rPr>
                <w:rFonts w:hint="eastAsia"/>
                <w:b/>
                <w:sz w:val="24"/>
              </w:rPr>
              <w:t>、</w:t>
            </w:r>
            <w:r>
              <w:rPr>
                <w:rFonts w:hint="eastAsia"/>
                <w:sz w:val="24"/>
              </w:rPr>
              <w:t>李一啸于</w:t>
            </w:r>
            <w:r>
              <w:rPr>
                <w:rFonts w:hint="eastAsia"/>
                <w:sz w:val="24"/>
              </w:rPr>
              <w:t>2016</w:t>
            </w:r>
            <w:r>
              <w:rPr>
                <w:rFonts w:hint="eastAsia"/>
                <w:sz w:val="24"/>
              </w:rPr>
              <w:t>年参加</w:t>
            </w:r>
            <w:r w:rsidRPr="007F1DA9">
              <w:rPr>
                <w:rFonts w:hint="eastAsia"/>
                <w:sz w:val="24"/>
              </w:rPr>
              <w:t>“安化黑茶与竹制茶具的结合应用”</w:t>
            </w:r>
            <w:r>
              <w:rPr>
                <w:rFonts w:hint="eastAsia"/>
                <w:sz w:val="24"/>
              </w:rPr>
              <w:t>课题；</w:t>
            </w:r>
          </w:p>
          <w:p w:rsidR="00FD1477" w:rsidRPr="007F1DA9" w:rsidRDefault="00FD1477" w:rsidP="000F52A1">
            <w:pPr>
              <w:snapToGrid w:val="0"/>
              <w:spacing w:line="360" w:lineRule="auto"/>
              <w:ind w:leftChars="86" w:left="181" w:firstLineChars="147" w:firstLine="354"/>
              <w:rPr>
                <w:rFonts w:hint="eastAsia"/>
                <w:sz w:val="24"/>
              </w:rPr>
            </w:pPr>
            <w:r w:rsidRPr="00152CAA">
              <w:rPr>
                <w:rFonts w:hint="eastAsia"/>
                <w:b/>
                <w:sz w:val="24"/>
              </w:rPr>
              <w:t>2</w:t>
            </w:r>
            <w:r w:rsidRPr="00152CAA">
              <w:rPr>
                <w:rFonts w:hint="eastAsia"/>
                <w:b/>
                <w:sz w:val="24"/>
              </w:rPr>
              <w:t>、</w:t>
            </w:r>
            <w:r w:rsidRPr="007F1DA9">
              <w:rPr>
                <w:rFonts w:hint="eastAsia"/>
                <w:sz w:val="24"/>
              </w:rPr>
              <w:t>李彤</w:t>
            </w:r>
            <w:r>
              <w:rPr>
                <w:rFonts w:hint="eastAsia"/>
                <w:sz w:val="24"/>
              </w:rPr>
              <w:t>于</w:t>
            </w:r>
            <w:r>
              <w:rPr>
                <w:rFonts w:hint="eastAsia"/>
                <w:sz w:val="24"/>
              </w:rPr>
              <w:t>2016</w:t>
            </w:r>
            <w:r w:rsidRPr="007F1DA9">
              <w:rPr>
                <w:rFonts w:hint="eastAsia"/>
                <w:sz w:val="24"/>
              </w:rPr>
              <w:t>参加“大学生需求视野下基于弹性学分制的高校管理流程补充研究”课题</w:t>
            </w:r>
            <w:r>
              <w:rPr>
                <w:rFonts w:hint="eastAsia"/>
                <w:sz w:val="24"/>
              </w:rPr>
              <w:t>；</w:t>
            </w:r>
          </w:p>
          <w:p w:rsidR="00FD1477" w:rsidRPr="007F1DA9" w:rsidRDefault="00FD1477" w:rsidP="000F52A1">
            <w:pPr>
              <w:snapToGrid w:val="0"/>
              <w:spacing w:line="360" w:lineRule="auto"/>
              <w:ind w:leftChars="86" w:left="181" w:firstLineChars="147" w:firstLine="354"/>
              <w:rPr>
                <w:sz w:val="24"/>
              </w:rPr>
            </w:pPr>
            <w:r w:rsidRPr="00152CAA">
              <w:rPr>
                <w:rFonts w:hint="eastAsia"/>
                <w:b/>
                <w:sz w:val="24"/>
              </w:rPr>
              <w:t>3</w:t>
            </w:r>
            <w:r w:rsidRPr="00152CAA">
              <w:rPr>
                <w:rFonts w:hint="eastAsia"/>
                <w:b/>
                <w:sz w:val="24"/>
              </w:rPr>
              <w:t>、</w:t>
            </w:r>
            <w:r w:rsidRPr="007F1DA9">
              <w:rPr>
                <w:rFonts w:hint="eastAsia"/>
                <w:sz w:val="24"/>
              </w:rPr>
              <w:t>张芸萍</w:t>
            </w:r>
            <w:r>
              <w:rPr>
                <w:rFonts w:hint="eastAsia"/>
                <w:sz w:val="24"/>
              </w:rPr>
              <w:t>于</w:t>
            </w:r>
            <w:r>
              <w:rPr>
                <w:rFonts w:hint="eastAsia"/>
                <w:sz w:val="24"/>
              </w:rPr>
              <w:t>2016</w:t>
            </w:r>
            <w:r w:rsidRPr="007F1DA9">
              <w:rPr>
                <w:rFonts w:hint="eastAsia"/>
                <w:sz w:val="24"/>
              </w:rPr>
              <w:t>参加“思想政治教育视野下的大学生志愿服务长效机制研究——以湖南农业大学东方科技学院为例”课题</w:t>
            </w:r>
            <w:r>
              <w:rPr>
                <w:rFonts w:hint="eastAsia"/>
                <w:sz w:val="24"/>
              </w:rPr>
              <w:t>；</w:t>
            </w:r>
          </w:p>
          <w:p w:rsidR="00FD1477" w:rsidRPr="00100833" w:rsidRDefault="00FD1477" w:rsidP="000F52A1">
            <w:pPr>
              <w:snapToGrid w:val="0"/>
              <w:spacing w:line="360" w:lineRule="auto"/>
              <w:ind w:firstLineChars="196" w:firstLine="472"/>
              <w:rPr>
                <w:sz w:val="24"/>
              </w:rPr>
            </w:pPr>
            <w:r w:rsidRPr="00152CAA">
              <w:rPr>
                <w:rFonts w:hint="eastAsia"/>
                <w:b/>
                <w:sz w:val="24"/>
              </w:rPr>
              <w:t>4</w:t>
            </w:r>
            <w:r w:rsidRPr="00152CAA">
              <w:rPr>
                <w:rFonts w:hint="eastAsia"/>
                <w:b/>
                <w:sz w:val="24"/>
              </w:rPr>
              <w:t>、</w:t>
            </w:r>
            <w:r>
              <w:rPr>
                <w:rFonts w:hint="eastAsia"/>
                <w:sz w:val="24"/>
              </w:rPr>
              <w:t>周鑫吉于</w:t>
            </w:r>
            <w:r>
              <w:rPr>
                <w:rFonts w:hint="eastAsia"/>
                <w:sz w:val="24"/>
              </w:rPr>
              <w:t>2018</w:t>
            </w:r>
            <w:r>
              <w:rPr>
                <w:rFonts w:hint="eastAsia"/>
                <w:sz w:val="24"/>
              </w:rPr>
              <w:t>年参加“</w:t>
            </w:r>
            <w:r w:rsidRPr="00CD7ED9">
              <w:rPr>
                <w:rFonts w:hint="eastAsia"/>
                <w:sz w:val="24"/>
              </w:rPr>
              <w:t>红豆柑橘纳豆芽孢杆菌发酵饮料的研制</w:t>
            </w:r>
            <w:r>
              <w:rPr>
                <w:rFonts w:hint="eastAsia"/>
                <w:sz w:val="24"/>
              </w:rPr>
              <w:t>”课题。</w:t>
            </w:r>
          </w:p>
        </w:tc>
      </w:tr>
      <w:tr w:rsidR="00FD1477" w:rsidRPr="00100833" w:rsidTr="000F52A1">
        <w:trPr>
          <w:trHeight w:val="1035"/>
        </w:trPr>
        <w:tc>
          <w:tcPr>
            <w:tcW w:w="9000" w:type="dxa"/>
            <w:gridSpan w:val="7"/>
          </w:tcPr>
          <w:p w:rsidR="00FD1477" w:rsidRDefault="00FD1477" w:rsidP="000F52A1">
            <w:pPr>
              <w:snapToGrid w:val="0"/>
              <w:rPr>
                <w:rFonts w:hint="eastAsia"/>
                <w:sz w:val="24"/>
              </w:rPr>
            </w:pPr>
            <w:r w:rsidRPr="00100833">
              <w:rPr>
                <w:sz w:val="24"/>
              </w:rPr>
              <w:t>指导教师承担科研课题情况</w:t>
            </w:r>
            <w:r>
              <w:rPr>
                <w:rFonts w:hint="eastAsia"/>
                <w:sz w:val="24"/>
              </w:rPr>
              <w:t>：</w:t>
            </w:r>
          </w:p>
          <w:p w:rsidR="00FD1477" w:rsidRPr="009A480B" w:rsidRDefault="00FD1477" w:rsidP="000F52A1">
            <w:pPr>
              <w:spacing w:line="360" w:lineRule="auto"/>
              <w:ind w:firstLineChars="200" w:firstLine="482"/>
              <w:rPr>
                <w:rFonts w:ascii="宋体" w:hAnsi="宋体" w:hint="eastAsia"/>
                <w:sz w:val="24"/>
              </w:rPr>
            </w:pPr>
            <w:r w:rsidRPr="00152CAA">
              <w:rPr>
                <w:rFonts w:ascii="宋体" w:hAnsi="宋体" w:hint="eastAsia"/>
                <w:b/>
                <w:sz w:val="24"/>
              </w:rPr>
              <w:t>1、</w:t>
            </w:r>
            <w:r w:rsidRPr="009A480B">
              <w:rPr>
                <w:rFonts w:ascii="宋体" w:hAnsi="宋体" w:hint="eastAsia"/>
                <w:sz w:val="24"/>
              </w:rPr>
              <w:t>2011年10月——2014年10月，湖南省西红柿水耕栽培研究，湖南省科学技术挺科技计划项目（2011NK3075） 主持</w:t>
            </w:r>
          </w:p>
          <w:p w:rsidR="00FD1477" w:rsidRPr="009A480B" w:rsidRDefault="00FD1477" w:rsidP="000F52A1">
            <w:pPr>
              <w:spacing w:line="360" w:lineRule="auto"/>
              <w:ind w:firstLineChars="199" w:firstLine="479"/>
              <w:rPr>
                <w:rFonts w:ascii="宋体" w:hAnsi="宋体" w:hint="eastAsia"/>
                <w:sz w:val="24"/>
              </w:rPr>
            </w:pPr>
            <w:r w:rsidRPr="00152CAA">
              <w:rPr>
                <w:rFonts w:ascii="宋体" w:hAnsi="宋体" w:hint="eastAsia"/>
                <w:b/>
                <w:sz w:val="24"/>
              </w:rPr>
              <w:t>2、</w:t>
            </w:r>
            <w:r w:rsidRPr="009A480B">
              <w:rPr>
                <w:rFonts w:ascii="宋体" w:hAnsi="宋体" w:hint="eastAsia"/>
                <w:sz w:val="24"/>
              </w:rPr>
              <w:t>2014年4月——2016年4月，棉花超短季栽培高产形成机理研究，湖南省教</w:t>
            </w:r>
            <w:r w:rsidRPr="009A480B">
              <w:rPr>
                <w:rFonts w:ascii="宋体" w:hAnsi="宋体" w:hint="eastAsia"/>
                <w:sz w:val="24"/>
              </w:rPr>
              <w:lastRenderedPageBreak/>
              <w:t>育厅科学研究项目（14CO547） 第二</w:t>
            </w:r>
          </w:p>
          <w:p w:rsidR="00FD1477" w:rsidRPr="009A480B" w:rsidRDefault="00FD1477" w:rsidP="000F52A1">
            <w:pPr>
              <w:spacing w:line="360" w:lineRule="auto"/>
              <w:ind w:firstLineChars="200" w:firstLine="482"/>
              <w:rPr>
                <w:rFonts w:ascii="宋体" w:hAnsi="宋体" w:hint="eastAsia"/>
                <w:sz w:val="24"/>
              </w:rPr>
            </w:pPr>
            <w:r w:rsidRPr="00152CAA">
              <w:rPr>
                <w:rFonts w:ascii="宋体" w:hAnsi="宋体" w:hint="eastAsia"/>
                <w:b/>
                <w:sz w:val="24"/>
              </w:rPr>
              <w:t>3、</w:t>
            </w:r>
            <w:r w:rsidRPr="009A480B">
              <w:rPr>
                <w:rFonts w:ascii="宋体" w:hAnsi="宋体" w:hint="eastAsia"/>
                <w:sz w:val="24"/>
              </w:rPr>
              <w:t>2015年1月——2016年12月，直播技术对烤烟产量及品质的影响研究，湖南农业大学东方科技学院青年科学研究基金项目（14QNZ16）  主持</w:t>
            </w:r>
          </w:p>
          <w:p w:rsidR="00FD1477" w:rsidRPr="00100833" w:rsidRDefault="00FD1477" w:rsidP="000F52A1">
            <w:pPr>
              <w:snapToGrid w:val="0"/>
              <w:ind w:firstLineChars="243" w:firstLine="585"/>
              <w:rPr>
                <w:sz w:val="24"/>
              </w:rPr>
            </w:pPr>
            <w:r w:rsidRPr="00152CAA">
              <w:rPr>
                <w:rFonts w:hint="eastAsia"/>
                <w:b/>
                <w:sz w:val="24"/>
              </w:rPr>
              <w:t>4</w:t>
            </w:r>
            <w:r w:rsidRPr="00152CAA">
              <w:rPr>
                <w:rFonts w:hint="eastAsia"/>
                <w:b/>
                <w:sz w:val="24"/>
              </w:rPr>
              <w:t>、</w:t>
            </w:r>
            <w:r>
              <w:rPr>
                <w:rFonts w:hint="eastAsia"/>
                <w:sz w:val="24"/>
              </w:rPr>
              <w:t>2017</w:t>
            </w:r>
            <w:r>
              <w:rPr>
                <w:rFonts w:hint="eastAsia"/>
                <w:sz w:val="24"/>
              </w:rPr>
              <w:t>年</w:t>
            </w:r>
            <w:r>
              <w:rPr>
                <w:rFonts w:hint="eastAsia"/>
                <w:sz w:val="24"/>
              </w:rPr>
              <w:t>1</w:t>
            </w:r>
            <w:r>
              <w:rPr>
                <w:rFonts w:hint="eastAsia"/>
                <w:sz w:val="24"/>
              </w:rPr>
              <w:t>月——</w:t>
            </w:r>
            <w:r>
              <w:rPr>
                <w:rFonts w:hint="eastAsia"/>
                <w:sz w:val="24"/>
              </w:rPr>
              <w:t>2017</w:t>
            </w:r>
            <w:r>
              <w:rPr>
                <w:rFonts w:hint="eastAsia"/>
                <w:sz w:val="24"/>
              </w:rPr>
              <w:t>年</w:t>
            </w:r>
            <w:r>
              <w:rPr>
                <w:rFonts w:hint="eastAsia"/>
                <w:sz w:val="24"/>
              </w:rPr>
              <w:t>12</w:t>
            </w:r>
            <w:r>
              <w:rPr>
                <w:rFonts w:hint="eastAsia"/>
                <w:sz w:val="24"/>
              </w:rPr>
              <w:t>月，新宁县烤烟小苗移栽试验项目</w:t>
            </w:r>
            <w:r>
              <w:rPr>
                <w:rFonts w:hint="eastAsia"/>
                <w:sz w:val="24"/>
              </w:rPr>
              <w:t xml:space="preserve"> </w:t>
            </w:r>
            <w:r>
              <w:rPr>
                <w:rFonts w:hint="eastAsia"/>
                <w:sz w:val="24"/>
              </w:rPr>
              <w:t>主持</w:t>
            </w:r>
          </w:p>
        </w:tc>
      </w:tr>
      <w:tr w:rsidR="00FD1477" w:rsidRPr="00100833" w:rsidTr="000F52A1">
        <w:trPr>
          <w:trHeight w:val="2182"/>
        </w:trPr>
        <w:tc>
          <w:tcPr>
            <w:tcW w:w="9000" w:type="dxa"/>
            <w:gridSpan w:val="7"/>
            <w:tcBorders>
              <w:top w:val="single" w:sz="4" w:space="0" w:color="auto"/>
              <w:left w:val="single" w:sz="4" w:space="0" w:color="auto"/>
              <w:bottom w:val="single" w:sz="4" w:space="0" w:color="auto"/>
              <w:right w:val="single" w:sz="4" w:space="0" w:color="auto"/>
            </w:tcBorders>
          </w:tcPr>
          <w:p w:rsidR="00FD1477" w:rsidRPr="00152CAA" w:rsidRDefault="00FD1477" w:rsidP="000F52A1">
            <w:pPr>
              <w:snapToGrid w:val="0"/>
              <w:spacing w:line="360" w:lineRule="auto"/>
              <w:rPr>
                <w:b/>
                <w:sz w:val="24"/>
              </w:rPr>
            </w:pPr>
            <w:r w:rsidRPr="00152CAA">
              <w:rPr>
                <w:b/>
                <w:sz w:val="24"/>
              </w:rPr>
              <w:lastRenderedPageBreak/>
              <w:t>项目研究和实验的目的、内容和要解决的主要问题</w:t>
            </w:r>
          </w:p>
          <w:p w:rsidR="00FD1477" w:rsidRPr="00960CA2" w:rsidRDefault="00FD1477" w:rsidP="000F52A1">
            <w:pPr>
              <w:adjustRightInd w:val="0"/>
              <w:spacing w:line="360" w:lineRule="auto"/>
              <w:ind w:firstLineChars="200" w:firstLine="482"/>
              <w:rPr>
                <w:sz w:val="24"/>
              </w:rPr>
            </w:pPr>
            <w:r>
              <w:rPr>
                <w:rFonts w:hint="eastAsia"/>
                <w:b/>
                <w:sz w:val="24"/>
              </w:rPr>
              <w:t>1</w:t>
            </w:r>
            <w:r>
              <w:rPr>
                <w:rFonts w:hint="eastAsia"/>
                <w:b/>
                <w:sz w:val="24"/>
              </w:rPr>
              <w:t>、研究</w:t>
            </w:r>
            <w:r w:rsidRPr="00960CA2">
              <w:rPr>
                <w:rFonts w:hint="eastAsia"/>
                <w:b/>
                <w:sz w:val="24"/>
              </w:rPr>
              <w:t>目的：</w:t>
            </w:r>
            <w:r w:rsidRPr="00960CA2">
              <w:rPr>
                <w:sz w:val="24"/>
              </w:rPr>
              <w:t>培育优质适龄壮苗是烤烟生产工作的重中之重，也是保证烟株大田营养生长，获得高效、优质、适产烟叶的基础。湖南烟稻轮作烟区烤烟育苗工作是在冬春之际进行，此时正值一年气温、光照强度和时长最低，寒潮侵袭频繁的季节。这种不利的气象条件（低温寡照）下培育的烟苗素质低，抗逆性差，还苗期长，极大地影响烤烟大田期的正常发育，成为限制烤烟品质提升的最主要因素。为应对此不利的气候条件（低温寡照），近年来，湖南各个烟区也采取了不同的应对措施：郴州烟区探索出两段式漂浮育苗的育苗方式，湖南宁乡烟区采用的是浅水漂浮育苗的育苗方式。其目的都是为了提高烟苗素质，增强抗逆性。同时，烤烟抗氧化系统与烤烟抗逆性息息相关。因此，研究不同育苗方式烤烟抗氧化系统的变化，培育素质高、抗逆性强的适龄烟苗，对改善和提高湖南烟区烟叶产质量具有十分重要的现实意义和理论意义。</w:t>
            </w:r>
          </w:p>
          <w:p w:rsidR="00FD1477" w:rsidRDefault="00FD1477" w:rsidP="000F52A1">
            <w:pPr>
              <w:snapToGrid w:val="0"/>
              <w:spacing w:line="360" w:lineRule="auto"/>
              <w:ind w:firstLine="480"/>
              <w:rPr>
                <w:rFonts w:hint="eastAsia"/>
                <w:sz w:val="24"/>
              </w:rPr>
            </w:pPr>
            <w:r>
              <w:rPr>
                <w:rFonts w:hint="eastAsia"/>
                <w:b/>
                <w:sz w:val="24"/>
              </w:rPr>
              <w:t>2</w:t>
            </w:r>
            <w:r>
              <w:rPr>
                <w:rFonts w:hint="eastAsia"/>
                <w:b/>
                <w:sz w:val="24"/>
              </w:rPr>
              <w:t>、研究</w:t>
            </w:r>
            <w:r w:rsidRPr="00960CA2">
              <w:rPr>
                <w:rFonts w:hint="eastAsia"/>
                <w:b/>
                <w:sz w:val="24"/>
              </w:rPr>
              <w:t>内容：</w:t>
            </w:r>
            <w:r w:rsidRPr="00960CA2">
              <w:rPr>
                <w:sz w:val="24"/>
              </w:rPr>
              <w:t>本研究通过监测抗氧化系统中超氧化物歧化酶</w:t>
            </w:r>
            <w:r w:rsidRPr="00960CA2">
              <w:rPr>
                <w:sz w:val="24"/>
              </w:rPr>
              <w:t>(SOD)</w:t>
            </w:r>
            <w:r w:rsidRPr="00960CA2">
              <w:rPr>
                <w:sz w:val="24"/>
              </w:rPr>
              <w:t>、过氧化氢酶</w:t>
            </w:r>
            <w:r w:rsidRPr="00960CA2">
              <w:rPr>
                <w:sz w:val="24"/>
              </w:rPr>
              <w:t>(CAT)</w:t>
            </w:r>
            <w:r w:rsidRPr="00960CA2">
              <w:rPr>
                <w:sz w:val="24"/>
              </w:rPr>
              <w:t>、过氧化物酶（</w:t>
            </w:r>
            <w:r w:rsidRPr="00960CA2">
              <w:rPr>
                <w:sz w:val="24"/>
              </w:rPr>
              <w:t>POD</w:t>
            </w:r>
            <w:r w:rsidRPr="00960CA2">
              <w:rPr>
                <w:sz w:val="24"/>
              </w:rPr>
              <w:t>）、抗坏血酸过氧化物酶</w:t>
            </w:r>
            <w:r w:rsidRPr="00960CA2">
              <w:rPr>
                <w:sz w:val="24"/>
              </w:rPr>
              <w:t xml:space="preserve"> (APX)</w:t>
            </w:r>
            <w:r w:rsidRPr="00960CA2">
              <w:rPr>
                <w:sz w:val="24"/>
              </w:rPr>
              <w:t>、谷胱甘肽还原酶</w:t>
            </w:r>
            <w:r w:rsidRPr="00960CA2">
              <w:rPr>
                <w:sz w:val="24"/>
              </w:rPr>
              <w:t xml:space="preserve"> (GR)</w:t>
            </w:r>
            <w:r w:rsidRPr="00960CA2">
              <w:rPr>
                <w:sz w:val="24"/>
              </w:rPr>
              <w:t>的变化，揭示漂浮育苗、浅水漂浮育苗、两段式漂浮育苗、两段式浅水漂浮育苗这</w:t>
            </w:r>
            <w:r w:rsidRPr="00960CA2">
              <w:rPr>
                <w:sz w:val="24"/>
              </w:rPr>
              <w:t>4</w:t>
            </w:r>
            <w:r w:rsidRPr="00960CA2">
              <w:rPr>
                <w:sz w:val="24"/>
              </w:rPr>
              <w:t>种育苗方式对烟苗生长、抗逆性及移栽大田后烟株生长发育</w:t>
            </w:r>
            <w:r>
              <w:rPr>
                <w:rFonts w:hint="eastAsia"/>
                <w:sz w:val="24"/>
              </w:rPr>
              <w:t>和烤后烟叶品质</w:t>
            </w:r>
            <w:r w:rsidRPr="00960CA2">
              <w:rPr>
                <w:sz w:val="24"/>
              </w:rPr>
              <w:t>的影响</w:t>
            </w:r>
            <w:r>
              <w:rPr>
                <w:rFonts w:hint="eastAsia"/>
                <w:sz w:val="24"/>
              </w:rPr>
              <w:t>。</w:t>
            </w:r>
          </w:p>
          <w:p w:rsidR="00FD1477" w:rsidRPr="00960CA2" w:rsidRDefault="00FD1477" w:rsidP="000F52A1">
            <w:pPr>
              <w:snapToGrid w:val="0"/>
              <w:spacing w:line="360" w:lineRule="auto"/>
              <w:ind w:firstLine="480"/>
              <w:rPr>
                <w:b/>
                <w:sz w:val="24"/>
              </w:rPr>
            </w:pPr>
            <w:r>
              <w:rPr>
                <w:rFonts w:hint="eastAsia"/>
                <w:b/>
                <w:sz w:val="24"/>
              </w:rPr>
              <w:t>3</w:t>
            </w:r>
            <w:r>
              <w:rPr>
                <w:rFonts w:hint="eastAsia"/>
                <w:b/>
                <w:sz w:val="24"/>
              </w:rPr>
              <w:t>、拟</w:t>
            </w:r>
            <w:r w:rsidRPr="00960CA2">
              <w:rPr>
                <w:rFonts w:hint="eastAsia"/>
                <w:b/>
                <w:sz w:val="24"/>
              </w:rPr>
              <w:t>解决</w:t>
            </w:r>
            <w:r>
              <w:rPr>
                <w:rFonts w:hint="eastAsia"/>
                <w:b/>
                <w:sz w:val="24"/>
              </w:rPr>
              <w:t>的</w:t>
            </w:r>
            <w:r w:rsidRPr="00960CA2">
              <w:rPr>
                <w:rFonts w:hint="eastAsia"/>
                <w:b/>
                <w:sz w:val="24"/>
              </w:rPr>
              <w:t>问题：</w:t>
            </w:r>
            <w:r w:rsidRPr="00960CA2">
              <w:rPr>
                <w:sz w:val="24"/>
              </w:rPr>
              <w:t>为改进湖南烟稻轮作烟区育苗方式，培育烤烟壮苗提供理论及试验依据，对提高湖南烤烟产质量及彰显浓香型烤烟风格特色</w:t>
            </w:r>
            <w:r>
              <w:rPr>
                <w:rFonts w:hint="eastAsia"/>
                <w:sz w:val="24"/>
              </w:rPr>
              <w:t>贡献力量</w:t>
            </w:r>
            <w:r w:rsidRPr="00960CA2">
              <w:rPr>
                <w:sz w:val="24"/>
              </w:rPr>
              <w:t>。</w:t>
            </w:r>
          </w:p>
        </w:tc>
      </w:tr>
      <w:tr w:rsidR="00FD1477" w:rsidRPr="00100833" w:rsidTr="000F52A1">
        <w:trPr>
          <w:trHeight w:val="2182"/>
        </w:trPr>
        <w:tc>
          <w:tcPr>
            <w:tcW w:w="9000" w:type="dxa"/>
            <w:gridSpan w:val="7"/>
            <w:tcBorders>
              <w:top w:val="single" w:sz="4" w:space="0" w:color="auto"/>
              <w:left w:val="single" w:sz="4" w:space="0" w:color="auto"/>
              <w:bottom w:val="single" w:sz="4" w:space="0" w:color="auto"/>
              <w:right w:val="single" w:sz="4" w:space="0" w:color="auto"/>
            </w:tcBorders>
          </w:tcPr>
          <w:p w:rsidR="00FD1477" w:rsidRPr="00152CAA" w:rsidRDefault="00FD1477" w:rsidP="000F52A1">
            <w:pPr>
              <w:snapToGrid w:val="0"/>
              <w:rPr>
                <w:b/>
                <w:sz w:val="24"/>
              </w:rPr>
            </w:pPr>
            <w:r w:rsidRPr="00152CAA">
              <w:rPr>
                <w:b/>
                <w:sz w:val="24"/>
              </w:rPr>
              <w:t>国内外研究现状和发展动态</w:t>
            </w:r>
          </w:p>
          <w:p w:rsidR="00FD1477" w:rsidRPr="00D3155A" w:rsidRDefault="00FD1477" w:rsidP="000F52A1">
            <w:pPr>
              <w:pStyle w:val="3"/>
              <w:spacing w:before="156" w:line="360" w:lineRule="auto"/>
              <w:ind w:firstLineChars="196" w:firstLine="472"/>
              <w:rPr>
                <w:rFonts w:ascii="宋体" w:eastAsia="宋体" w:hAnsi="宋体"/>
                <w:b/>
              </w:rPr>
            </w:pPr>
            <w:bookmarkStart w:id="0" w:name="_Toc480370874"/>
            <w:r>
              <w:rPr>
                <w:rFonts w:ascii="宋体" w:eastAsia="宋体" w:hAnsi="宋体" w:hint="eastAsia"/>
                <w:b/>
              </w:rPr>
              <w:t>1</w:t>
            </w:r>
            <w:r w:rsidRPr="00D3155A">
              <w:rPr>
                <w:rFonts w:ascii="宋体" w:eastAsia="宋体" w:hAnsi="宋体" w:hint="eastAsia"/>
                <w:b/>
              </w:rPr>
              <w:t>、</w:t>
            </w:r>
            <w:r w:rsidRPr="00D3155A">
              <w:rPr>
                <w:rFonts w:ascii="宋体" w:eastAsia="宋体" w:hAnsi="宋体"/>
                <w:b/>
              </w:rPr>
              <w:t>自由基与烤烟逆境环境的研究进展</w:t>
            </w:r>
            <w:bookmarkEnd w:id="0"/>
          </w:p>
          <w:p w:rsidR="00FD1477" w:rsidRPr="005F0F35" w:rsidRDefault="00FD1477" w:rsidP="000F52A1">
            <w:pPr>
              <w:spacing w:line="360" w:lineRule="auto"/>
              <w:ind w:firstLineChars="200" w:firstLine="480"/>
              <w:rPr>
                <w:sz w:val="24"/>
              </w:rPr>
            </w:pPr>
            <w:r w:rsidRPr="005F0F35">
              <w:rPr>
                <w:sz w:val="24"/>
              </w:rPr>
              <w:t>自由基是含有一个或一个以上未成对电子的任何原子或原子，能够独立存在且具备极强反应活性，可对机体产生危害，生物大分子的结构和功能受到损害，影响细胞正常功能。植物在光合作用和有氧呼吸过程中，会有部分超氧化物与过氧化氢等活性氧自由基产生，特别是植物处在自然界各种逆境条件，如</w:t>
            </w:r>
            <w:r w:rsidRPr="005F0F35">
              <w:rPr>
                <w:sz w:val="24"/>
              </w:rPr>
              <w:t>:</w:t>
            </w:r>
            <w:r w:rsidRPr="005F0F35">
              <w:rPr>
                <w:sz w:val="24"/>
              </w:rPr>
              <w:t>臭氧胁迫、盐碱胁迫、病原物入侵、环境污染、干旱胁迫、高温或冻害等应激反应时都会在植物体内生成各种超氧化物和过氧化氢，这些物质的最主要特点是拥有高活性的单电子的氧，因此被称为活性氧</w:t>
            </w:r>
            <w:r w:rsidRPr="005F0F35">
              <w:rPr>
                <w:sz w:val="24"/>
              </w:rPr>
              <w:t>(Reactive Oxygen Species</w:t>
            </w:r>
            <w:r w:rsidRPr="005F0F35">
              <w:rPr>
                <w:sz w:val="24"/>
              </w:rPr>
              <w:t>，</w:t>
            </w:r>
            <w:r w:rsidRPr="005F0F35">
              <w:rPr>
                <w:sz w:val="24"/>
              </w:rPr>
              <w:t>ROS)</w:t>
            </w:r>
            <w:r w:rsidRPr="005F0F35">
              <w:rPr>
                <w:sz w:val="24"/>
              </w:rPr>
              <w:t>。此外，在植物各种氮代谢中也会生成各种</w:t>
            </w:r>
            <w:r w:rsidRPr="005F0F35">
              <w:rPr>
                <w:sz w:val="24"/>
              </w:rPr>
              <w:lastRenderedPageBreak/>
              <w:t>自由态氮和非自由态氮等活性氮</w:t>
            </w:r>
            <w:r w:rsidRPr="005F0F35">
              <w:rPr>
                <w:sz w:val="24"/>
              </w:rPr>
              <w:t>(Reactive Nitrogen Species</w:t>
            </w:r>
            <w:r w:rsidRPr="005F0F35">
              <w:rPr>
                <w:sz w:val="24"/>
              </w:rPr>
              <w:t>，</w:t>
            </w:r>
            <w:r w:rsidRPr="005F0F35">
              <w:rPr>
                <w:sz w:val="24"/>
              </w:rPr>
              <w:t>RNS)</w:t>
            </w:r>
            <w:r w:rsidRPr="005F0F35">
              <w:rPr>
                <w:sz w:val="24"/>
              </w:rPr>
              <w:t>。</w:t>
            </w:r>
          </w:p>
          <w:p w:rsidR="00FD1477" w:rsidRPr="005F0F35" w:rsidRDefault="00FD1477" w:rsidP="000F52A1">
            <w:pPr>
              <w:snapToGrid w:val="0"/>
              <w:spacing w:line="360" w:lineRule="auto"/>
              <w:ind w:firstLineChars="200" w:firstLine="480"/>
              <w:rPr>
                <w:rFonts w:hint="eastAsia"/>
                <w:sz w:val="24"/>
              </w:rPr>
            </w:pPr>
            <w:r w:rsidRPr="005F0F35">
              <w:rPr>
                <w:sz w:val="24"/>
              </w:rPr>
              <w:t>生物体内生成的自由基主要成分为：超氧阴离子自由基</w:t>
            </w:r>
            <w:r w:rsidRPr="005F0F35">
              <w:rPr>
                <w:sz w:val="24"/>
              </w:rPr>
              <w:t>(O</w:t>
            </w:r>
            <w:r w:rsidRPr="005F0F35">
              <w:rPr>
                <w:sz w:val="24"/>
                <w:vertAlign w:val="subscript"/>
              </w:rPr>
              <w:t>2</w:t>
            </w:r>
            <w:r w:rsidRPr="005F0F35">
              <w:rPr>
                <w:sz w:val="24"/>
              </w:rPr>
              <w:t>-·)</w:t>
            </w:r>
            <w:r w:rsidRPr="005F0F35">
              <w:rPr>
                <w:sz w:val="24"/>
              </w:rPr>
              <w:t>、羟自由基</w:t>
            </w:r>
            <w:r w:rsidRPr="005F0F35">
              <w:rPr>
                <w:sz w:val="24"/>
              </w:rPr>
              <w:t>(OH·)</w:t>
            </w:r>
            <w:r w:rsidRPr="005F0F35">
              <w:rPr>
                <w:sz w:val="24"/>
              </w:rPr>
              <w:t>、脂质过氧化产物</w:t>
            </w:r>
            <w:r w:rsidRPr="005F0F35">
              <w:rPr>
                <w:sz w:val="24"/>
              </w:rPr>
              <w:t>( ROO·)</w:t>
            </w:r>
            <w:r w:rsidRPr="005F0F35">
              <w:rPr>
                <w:sz w:val="24"/>
              </w:rPr>
              <w:t>、过氧化氢</w:t>
            </w:r>
            <w:r w:rsidRPr="005F0F35">
              <w:rPr>
                <w:sz w:val="24"/>
              </w:rPr>
              <w:t>(H</w:t>
            </w:r>
            <w:r w:rsidRPr="005F0F35">
              <w:rPr>
                <w:sz w:val="24"/>
                <w:vertAlign w:val="subscript"/>
              </w:rPr>
              <w:t>2</w:t>
            </w:r>
            <w:r w:rsidRPr="005F0F35">
              <w:rPr>
                <w:sz w:val="24"/>
              </w:rPr>
              <w:t>O</w:t>
            </w:r>
            <w:r w:rsidRPr="005F0F35">
              <w:rPr>
                <w:sz w:val="24"/>
                <w:vertAlign w:val="subscript"/>
              </w:rPr>
              <w:t>2</w:t>
            </w:r>
            <w:r w:rsidRPr="005F0F35">
              <w:rPr>
                <w:sz w:val="24"/>
              </w:rPr>
              <w:t>)</w:t>
            </w:r>
            <w:r w:rsidRPr="005F0F35">
              <w:rPr>
                <w:sz w:val="24"/>
              </w:rPr>
              <w:t>、单线态氧（</w:t>
            </w:r>
            <w:r w:rsidRPr="005F0F35">
              <w:rPr>
                <w:sz w:val="24"/>
              </w:rPr>
              <w:t>1O</w:t>
            </w:r>
            <w:r w:rsidRPr="005F0F35">
              <w:rPr>
                <w:sz w:val="24"/>
                <w:vertAlign w:val="subscript"/>
              </w:rPr>
              <w:t>2</w:t>
            </w:r>
            <w:r w:rsidRPr="005F0F35">
              <w:rPr>
                <w:sz w:val="24"/>
              </w:rPr>
              <w:t>）等氧自由基</w:t>
            </w:r>
            <w:r w:rsidRPr="005F0F35">
              <w:rPr>
                <w:sz w:val="24"/>
              </w:rPr>
              <w:t>;</w:t>
            </w:r>
            <w:r w:rsidRPr="005F0F35">
              <w:rPr>
                <w:sz w:val="24"/>
              </w:rPr>
              <w:t>一氧化氮</w:t>
            </w:r>
            <w:r w:rsidRPr="005F0F35">
              <w:rPr>
                <w:sz w:val="24"/>
              </w:rPr>
              <w:t>(NO·)</w:t>
            </w:r>
            <w:r w:rsidRPr="005F0F35">
              <w:rPr>
                <w:sz w:val="24"/>
              </w:rPr>
              <w:t>等氮自由基。</w:t>
            </w:r>
          </w:p>
          <w:p w:rsidR="00FD1477" w:rsidRPr="00D3155A" w:rsidRDefault="00FD1477" w:rsidP="000F52A1">
            <w:pPr>
              <w:spacing w:line="360" w:lineRule="auto"/>
              <w:ind w:firstLineChars="196" w:firstLine="472"/>
              <w:rPr>
                <w:rFonts w:ascii="宋体" w:hAnsi="宋体"/>
                <w:b/>
                <w:bCs/>
                <w:sz w:val="24"/>
                <w:szCs w:val="32"/>
              </w:rPr>
            </w:pPr>
            <w:r>
              <w:rPr>
                <w:rFonts w:ascii="宋体" w:hAnsi="宋体" w:hint="eastAsia"/>
                <w:b/>
                <w:bCs/>
                <w:sz w:val="24"/>
                <w:szCs w:val="32"/>
              </w:rPr>
              <w:t>2</w:t>
            </w:r>
            <w:r w:rsidRPr="00D3155A">
              <w:rPr>
                <w:rFonts w:ascii="宋体" w:hAnsi="宋体" w:hint="eastAsia"/>
                <w:b/>
                <w:bCs/>
                <w:sz w:val="24"/>
                <w:szCs w:val="32"/>
              </w:rPr>
              <w:t>、</w:t>
            </w:r>
            <w:r w:rsidRPr="00D3155A">
              <w:rPr>
                <w:rFonts w:ascii="宋体" w:hAnsi="宋体"/>
                <w:b/>
                <w:bCs/>
                <w:sz w:val="24"/>
                <w:szCs w:val="32"/>
              </w:rPr>
              <w:t>细胞抗氧化系统及其清除自由基机理的研究进展</w:t>
            </w:r>
          </w:p>
          <w:p w:rsidR="00FD1477" w:rsidRPr="005F0F35" w:rsidRDefault="00FD1477" w:rsidP="000F52A1">
            <w:pPr>
              <w:spacing w:line="360" w:lineRule="auto"/>
              <w:ind w:firstLineChars="200" w:firstLine="480"/>
              <w:rPr>
                <w:rStyle w:val="a5"/>
                <w:rFonts w:hint="default"/>
              </w:rPr>
            </w:pPr>
            <w:r w:rsidRPr="005F0F35">
              <w:rPr>
                <w:rStyle w:val="a5"/>
                <w:rFonts w:hint="default"/>
              </w:rPr>
              <w:t>抗氧化酶类和抗氧化剂类共同构成植物抗氧化系统。它们在植物体内都可消除活性氧。</w:t>
            </w:r>
            <w:r w:rsidRPr="005F0F35">
              <w:rPr>
                <w:rStyle w:val="a5"/>
                <w:rFonts w:hint="default"/>
              </w:rPr>
              <w:t xml:space="preserve"> </w:t>
            </w:r>
            <w:r w:rsidRPr="005F0F35">
              <w:rPr>
                <w:rStyle w:val="a5"/>
                <w:rFonts w:hint="default"/>
              </w:rPr>
              <w:t>抗氧化酶类主要有超氧化物歧化酶</w:t>
            </w:r>
            <w:r w:rsidRPr="005F0F35">
              <w:rPr>
                <w:rStyle w:val="a5"/>
                <w:rFonts w:hint="default"/>
              </w:rPr>
              <w:t>( SOD)</w:t>
            </w:r>
            <w:r w:rsidRPr="005F0F35">
              <w:rPr>
                <w:rStyle w:val="a5"/>
                <w:rFonts w:hint="default"/>
              </w:rPr>
              <w:t>、过氧化氢酶</w:t>
            </w:r>
            <w:r w:rsidRPr="005F0F35">
              <w:rPr>
                <w:rStyle w:val="a5"/>
                <w:rFonts w:hint="default"/>
              </w:rPr>
              <w:t xml:space="preserve"> ( CAT )</w:t>
            </w:r>
            <w:r w:rsidRPr="005F0F35">
              <w:rPr>
                <w:rStyle w:val="a5"/>
                <w:rFonts w:hint="default"/>
              </w:rPr>
              <w:t>、过氧化物酶（</w:t>
            </w:r>
            <w:r w:rsidRPr="005F0F35">
              <w:rPr>
                <w:rStyle w:val="a5"/>
                <w:rFonts w:hint="default"/>
              </w:rPr>
              <w:t>POD</w:t>
            </w:r>
            <w:r w:rsidRPr="005F0F35">
              <w:rPr>
                <w:rStyle w:val="a5"/>
                <w:rFonts w:hint="default"/>
              </w:rPr>
              <w:t>）、抗坏血酸过氧化物酶</w:t>
            </w:r>
            <w:r w:rsidRPr="005F0F35">
              <w:rPr>
                <w:rStyle w:val="a5"/>
                <w:rFonts w:hint="default"/>
              </w:rPr>
              <w:t xml:space="preserve"> (APX)</w:t>
            </w:r>
            <w:r w:rsidRPr="005F0F35">
              <w:rPr>
                <w:rStyle w:val="a5"/>
                <w:rFonts w:hint="default"/>
              </w:rPr>
              <w:t>、谷胱甘肽还原酶</w:t>
            </w:r>
            <w:r w:rsidRPr="005F0F35">
              <w:rPr>
                <w:rStyle w:val="a5"/>
                <w:rFonts w:hint="default"/>
              </w:rPr>
              <w:t xml:space="preserve"> (GR)</w:t>
            </w:r>
            <w:r w:rsidRPr="005F0F35">
              <w:rPr>
                <w:rStyle w:val="a5"/>
                <w:rFonts w:hint="default"/>
              </w:rPr>
              <w:t>。</w:t>
            </w:r>
            <w:r w:rsidRPr="005F0F35">
              <w:rPr>
                <w:rStyle w:val="a5"/>
                <w:rFonts w:hint="default"/>
              </w:rPr>
              <w:t xml:space="preserve"> </w:t>
            </w:r>
            <w:r w:rsidRPr="005F0F35">
              <w:rPr>
                <w:rStyle w:val="a5"/>
                <w:rFonts w:hint="default"/>
              </w:rPr>
              <w:t>抗氧化剂类主要有抗坏血酸、谷胱甘肽、</w:t>
            </w:r>
            <w:r w:rsidRPr="005F0F35">
              <w:rPr>
                <w:rStyle w:val="a5"/>
                <w:rFonts w:hint="default"/>
              </w:rPr>
              <w:t>α—</w:t>
            </w:r>
            <w:r w:rsidRPr="005F0F35">
              <w:rPr>
                <w:rStyle w:val="a5"/>
                <w:rFonts w:hint="default"/>
              </w:rPr>
              <w:t>生育酚</w:t>
            </w:r>
            <w:r w:rsidRPr="005F0F35">
              <w:rPr>
                <w:rStyle w:val="a5"/>
                <w:rFonts w:hint="default"/>
              </w:rPr>
              <w:t xml:space="preserve">( </w:t>
            </w:r>
            <w:proofErr w:type="spellStart"/>
            <w:r w:rsidRPr="005F0F35">
              <w:rPr>
                <w:rStyle w:val="a5"/>
                <w:rFonts w:hint="default"/>
              </w:rPr>
              <w:t>Ve</w:t>
            </w:r>
            <w:proofErr w:type="spellEnd"/>
            <w:r w:rsidRPr="005F0F35">
              <w:rPr>
                <w:rStyle w:val="a5"/>
                <w:rFonts w:hint="default"/>
              </w:rPr>
              <w:t>)</w:t>
            </w:r>
            <w:r w:rsidRPr="005F0F35">
              <w:rPr>
                <w:rStyle w:val="a5"/>
                <w:rFonts w:hint="default"/>
              </w:rPr>
              <w:t>。</w:t>
            </w:r>
          </w:p>
          <w:p w:rsidR="00FD1477" w:rsidRPr="005F0F35" w:rsidRDefault="00FD1477" w:rsidP="000F52A1">
            <w:pPr>
              <w:spacing w:line="360" w:lineRule="auto"/>
              <w:ind w:firstLineChars="200" w:firstLine="480"/>
              <w:rPr>
                <w:sz w:val="24"/>
              </w:rPr>
            </w:pPr>
            <w:r>
              <w:rPr>
                <w:rFonts w:hint="eastAsia"/>
                <w:sz w:val="24"/>
              </w:rPr>
              <w:t>（</w:t>
            </w:r>
            <w:r w:rsidRPr="005F0F35">
              <w:rPr>
                <w:rFonts w:hint="eastAsia"/>
                <w:sz w:val="24"/>
              </w:rPr>
              <w:t>1</w:t>
            </w:r>
            <w:r>
              <w:rPr>
                <w:rFonts w:hint="eastAsia"/>
                <w:sz w:val="24"/>
              </w:rPr>
              <w:t>）</w:t>
            </w:r>
            <w:r w:rsidRPr="005F0F35">
              <w:rPr>
                <w:rFonts w:hint="eastAsia"/>
                <w:sz w:val="24"/>
              </w:rPr>
              <w:t>、</w:t>
            </w:r>
            <w:r w:rsidRPr="005F0F35">
              <w:rPr>
                <w:sz w:val="24"/>
              </w:rPr>
              <w:t>SOD</w:t>
            </w:r>
            <w:r w:rsidRPr="005F0F35">
              <w:rPr>
                <w:sz w:val="24"/>
              </w:rPr>
              <w:t>的作用底物是生物体内生成的超氧阴离子自由基</w:t>
            </w:r>
            <w:r w:rsidRPr="005F0F35">
              <w:rPr>
                <w:sz w:val="24"/>
              </w:rPr>
              <w:t>O</w:t>
            </w:r>
            <w:r w:rsidRPr="005F0F35">
              <w:rPr>
                <w:sz w:val="24"/>
                <w:vertAlign w:val="subscript"/>
              </w:rPr>
              <w:t>2</w:t>
            </w:r>
            <w:r w:rsidRPr="005F0F35">
              <w:rPr>
                <w:sz w:val="24"/>
                <w:vertAlign w:val="superscript"/>
              </w:rPr>
              <w:t>-</w:t>
            </w:r>
            <w:r w:rsidRPr="005F0F35">
              <w:rPr>
                <w:sz w:val="24"/>
              </w:rPr>
              <w:t>。将超氧阴离子自由基</w:t>
            </w:r>
            <w:r w:rsidRPr="005F0F35">
              <w:rPr>
                <w:sz w:val="24"/>
              </w:rPr>
              <w:t>O</w:t>
            </w:r>
            <w:r w:rsidRPr="005F0F35">
              <w:rPr>
                <w:sz w:val="24"/>
                <w:vertAlign w:val="subscript"/>
              </w:rPr>
              <w:t>2</w:t>
            </w:r>
            <w:r w:rsidRPr="005F0F35">
              <w:rPr>
                <w:sz w:val="24"/>
                <w:vertAlign w:val="superscript"/>
              </w:rPr>
              <w:t>-</w:t>
            </w:r>
            <w:r w:rsidRPr="005F0F35">
              <w:rPr>
                <w:sz w:val="24"/>
              </w:rPr>
              <w:t>·</w:t>
            </w:r>
            <w:r w:rsidRPr="005F0F35">
              <w:rPr>
                <w:sz w:val="24"/>
              </w:rPr>
              <w:t>还原为</w:t>
            </w:r>
            <w:r w:rsidRPr="005F0F35">
              <w:rPr>
                <w:sz w:val="24"/>
              </w:rPr>
              <w:t>O</w:t>
            </w:r>
            <w:r w:rsidRPr="005F0F35">
              <w:rPr>
                <w:sz w:val="24"/>
                <w:vertAlign w:val="subscript"/>
              </w:rPr>
              <w:t>2</w:t>
            </w:r>
            <w:r w:rsidRPr="005F0F35">
              <w:rPr>
                <w:sz w:val="24"/>
              </w:rPr>
              <w:t>和</w:t>
            </w:r>
            <w:r w:rsidRPr="005F0F35">
              <w:rPr>
                <w:sz w:val="24"/>
              </w:rPr>
              <w:t>H</w:t>
            </w:r>
            <w:r w:rsidRPr="005F0F35">
              <w:rPr>
                <w:sz w:val="24"/>
                <w:vertAlign w:val="subscript"/>
              </w:rPr>
              <w:t>2</w:t>
            </w:r>
            <w:r w:rsidRPr="005F0F35">
              <w:rPr>
                <w:sz w:val="24"/>
              </w:rPr>
              <w:t>O</w:t>
            </w:r>
            <w:r w:rsidRPr="005F0F35">
              <w:rPr>
                <w:sz w:val="24"/>
                <w:vertAlign w:val="subscript"/>
              </w:rPr>
              <w:t>2</w:t>
            </w:r>
            <w:r w:rsidRPr="005F0F35">
              <w:rPr>
                <w:sz w:val="24"/>
              </w:rPr>
              <w:t>。产生的</w:t>
            </w:r>
            <w:r w:rsidRPr="005F0F35">
              <w:rPr>
                <w:sz w:val="24"/>
              </w:rPr>
              <w:t>H</w:t>
            </w:r>
            <w:r w:rsidRPr="005F0F35">
              <w:rPr>
                <w:sz w:val="24"/>
                <w:vertAlign w:val="subscript"/>
              </w:rPr>
              <w:t>2</w:t>
            </w:r>
            <w:r w:rsidRPr="005F0F35">
              <w:rPr>
                <w:sz w:val="24"/>
              </w:rPr>
              <w:t>O</w:t>
            </w:r>
            <w:r w:rsidRPr="005F0F35">
              <w:rPr>
                <w:sz w:val="24"/>
                <w:vertAlign w:val="subscript"/>
              </w:rPr>
              <w:t>2</w:t>
            </w:r>
            <w:r w:rsidRPr="005F0F35">
              <w:rPr>
                <w:sz w:val="24"/>
              </w:rPr>
              <w:t>进一步被抗坏血酸和过氧化氢酶分解生成</w:t>
            </w:r>
            <w:r w:rsidRPr="005F0F35">
              <w:rPr>
                <w:sz w:val="24"/>
              </w:rPr>
              <w:t>H</w:t>
            </w:r>
            <w:r w:rsidRPr="005F0F35">
              <w:rPr>
                <w:sz w:val="24"/>
                <w:vertAlign w:val="subscript"/>
              </w:rPr>
              <w:t>2</w:t>
            </w:r>
            <w:r w:rsidRPr="005F0F35">
              <w:rPr>
                <w:sz w:val="24"/>
              </w:rPr>
              <w:t>O</w:t>
            </w:r>
            <w:r w:rsidRPr="005F0F35">
              <w:rPr>
                <w:sz w:val="24"/>
              </w:rPr>
              <w:t>和</w:t>
            </w:r>
            <w:r w:rsidRPr="005F0F35">
              <w:rPr>
                <w:sz w:val="24"/>
              </w:rPr>
              <w:t>O</w:t>
            </w:r>
            <w:r w:rsidRPr="005F0F35">
              <w:rPr>
                <w:sz w:val="24"/>
                <w:vertAlign w:val="subscript"/>
              </w:rPr>
              <w:t>2</w:t>
            </w:r>
            <w:r w:rsidRPr="005F0F35">
              <w:rPr>
                <w:sz w:val="24"/>
              </w:rPr>
              <w:t>，从而解除</w:t>
            </w:r>
            <w:r w:rsidRPr="005F0F35">
              <w:rPr>
                <w:sz w:val="24"/>
              </w:rPr>
              <w:t>O</w:t>
            </w:r>
            <w:r w:rsidRPr="005F0F35">
              <w:rPr>
                <w:sz w:val="24"/>
                <w:vertAlign w:val="subscript"/>
              </w:rPr>
              <w:t>2</w:t>
            </w:r>
            <w:r w:rsidRPr="005F0F35">
              <w:rPr>
                <w:sz w:val="24"/>
                <w:vertAlign w:val="superscript"/>
              </w:rPr>
              <w:t>-</w:t>
            </w:r>
            <w:r w:rsidRPr="005F0F35">
              <w:rPr>
                <w:sz w:val="24"/>
              </w:rPr>
              <w:t>·</w:t>
            </w:r>
            <w:r w:rsidRPr="005F0F35">
              <w:rPr>
                <w:sz w:val="24"/>
              </w:rPr>
              <w:t>形成的氧化胁迫。</w:t>
            </w:r>
          </w:p>
          <w:p w:rsidR="00FD1477" w:rsidRDefault="00FD1477" w:rsidP="000F52A1">
            <w:pPr>
              <w:snapToGrid w:val="0"/>
              <w:spacing w:line="360" w:lineRule="auto"/>
              <w:ind w:firstLineChars="200" w:firstLine="480"/>
              <w:rPr>
                <w:rFonts w:hint="eastAsia"/>
                <w:sz w:val="24"/>
              </w:rPr>
            </w:pPr>
            <w:r>
              <w:rPr>
                <w:rFonts w:hint="eastAsia"/>
                <w:sz w:val="24"/>
              </w:rPr>
              <w:t>（</w:t>
            </w:r>
            <w:r>
              <w:rPr>
                <w:rFonts w:hint="eastAsia"/>
                <w:sz w:val="24"/>
              </w:rPr>
              <w:t>2</w:t>
            </w:r>
            <w:r>
              <w:rPr>
                <w:rFonts w:hint="eastAsia"/>
                <w:sz w:val="24"/>
              </w:rPr>
              <w:t>）</w:t>
            </w:r>
            <w:r w:rsidRPr="005F0F35">
              <w:rPr>
                <w:rFonts w:hint="eastAsia"/>
                <w:sz w:val="24"/>
              </w:rPr>
              <w:t>、</w:t>
            </w:r>
            <w:r w:rsidRPr="005F0F35">
              <w:rPr>
                <w:sz w:val="24"/>
              </w:rPr>
              <w:t>过氧化氢酶（</w:t>
            </w:r>
            <w:r w:rsidRPr="005F0F35">
              <w:rPr>
                <w:sz w:val="24"/>
              </w:rPr>
              <w:t>CAT</w:t>
            </w:r>
            <w:r w:rsidRPr="005F0F35">
              <w:rPr>
                <w:sz w:val="24"/>
              </w:rPr>
              <w:t>）是生物体内主要的抗氧化酶之一。起主要作用是催化细胞内</w:t>
            </w:r>
            <w:r w:rsidRPr="005F0F35">
              <w:rPr>
                <w:sz w:val="24"/>
              </w:rPr>
              <w:t>H</w:t>
            </w:r>
            <w:r w:rsidRPr="005F0F35">
              <w:rPr>
                <w:sz w:val="24"/>
                <w:vertAlign w:val="subscript"/>
              </w:rPr>
              <w:t>2</w:t>
            </w:r>
            <w:r w:rsidRPr="005F0F35">
              <w:rPr>
                <w:sz w:val="24"/>
              </w:rPr>
              <w:t>O</w:t>
            </w:r>
            <w:r w:rsidRPr="005F0F35">
              <w:rPr>
                <w:sz w:val="24"/>
                <w:vertAlign w:val="subscript"/>
              </w:rPr>
              <w:t>2</w:t>
            </w:r>
            <w:r w:rsidRPr="005F0F35">
              <w:rPr>
                <w:sz w:val="24"/>
              </w:rPr>
              <w:t>的分解，避免细胞受到</w:t>
            </w:r>
            <w:r w:rsidRPr="005F0F35">
              <w:rPr>
                <w:sz w:val="24"/>
              </w:rPr>
              <w:t>H</w:t>
            </w:r>
            <w:r w:rsidRPr="005F0F35">
              <w:rPr>
                <w:sz w:val="24"/>
                <w:vertAlign w:val="subscript"/>
              </w:rPr>
              <w:t>2</w:t>
            </w:r>
            <w:r w:rsidRPr="005F0F35">
              <w:rPr>
                <w:sz w:val="24"/>
              </w:rPr>
              <w:t>O</w:t>
            </w:r>
            <w:r w:rsidRPr="005F0F35">
              <w:rPr>
                <w:sz w:val="24"/>
                <w:vertAlign w:val="subscript"/>
              </w:rPr>
              <w:t>2</w:t>
            </w:r>
            <w:r w:rsidRPr="005F0F35">
              <w:rPr>
                <w:sz w:val="24"/>
              </w:rPr>
              <w:t>的伤害。大部分的生物体都有过氧化氢酶。</w:t>
            </w:r>
          </w:p>
          <w:p w:rsidR="00FD1477" w:rsidRPr="00D3155A" w:rsidRDefault="00FD1477" w:rsidP="000F52A1">
            <w:pPr>
              <w:spacing w:line="360" w:lineRule="auto"/>
              <w:ind w:firstLineChars="200" w:firstLine="480"/>
              <w:rPr>
                <w:rStyle w:val="a5"/>
                <w:rFonts w:hint="default"/>
              </w:rPr>
            </w:pPr>
            <w:r>
              <w:rPr>
                <w:rFonts w:hint="eastAsia"/>
                <w:sz w:val="24"/>
              </w:rPr>
              <w:t>（</w:t>
            </w:r>
            <w:r>
              <w:rPr>
                <w:rFonts w:hint="eastAsia"/>
                <w:sz w:val="24"/>
              </w:rPr>
              <w:t>3</w:t>
            </w:r>
            <w:r>
              <w:rPr>
                <w:rFonts w:hint="eastAsia"/>
                <w:sz w:val="24"/>
              </w:rPr>
              <w:t>）</w:t>
            </w:r>
            <w:r w:rsidRPr="00D3155A">
              <w:rPr>
                <w:rStyle w:val="a5"/>
              </w:rPr>
              <w:t>、</w:t>
            </w:r>
            <w:r w:rsidRPr="00D3155A">
              <w:rPr>
                <w:rStyle w:val="a5"/>
                <w:rFonts w:hint="default"/>
              </w:rPr>
              <w:t>维生素</w:t>
            </w:r>
            <w:r w:rsidRPr="00D3155A">
              <w:rPr>
                <w:rStyle w:val="a5"/>
                <w:rFonts w:hint="default"/>
              </w:rPr>
              <w:t>E</w:t>
            </w:r>
            <w:r w:rsidRPr="00D3155A">
              <w:rPr>
                <w:rStyle w:val="a5"/>
                <w:rFonts w:hint="default"/>
              </w:rPr>
              <w:t>作为断链抗氧化剂，可阻止自由基反应的进行，避免细胞膜磷脂中的多不饱和脂肪酸受到氧自由基的危害。所以说</w:t>
            </w:r>
            <w:r w:rsidRPr="00D3155A">
              <w:rPr>
                <w:rStyle w:val="a5"/>
                <w:rFonts w:hint="default"/>
              </w:rPr>
              <w:t>VE</w:t>
            </w:r>
            <w:r w:rsidRPr="00D3155A">
              <w:rPr>
                <w:rStyle w:val="a5"/>
                <w:rFonts w:hint="default"/>
              </w:rPr>
              <w:t>能够保护并维持细胞膜结构和功能的完整性，还能减轻氧自由基造成的应激反应</w:t>
            </w:r>
            <w:r w:rsidRPr="00D3155A">
              <w:rPr>
                <w:rStyle w:val="a5"/>
              </w:rPr>
              <w:t>。</w:t>
            </w:r>
            <w:r w:rsidRPr="00D3155A">
              <w:rPr>
                <w:rStyle w:val="a5"/>
                <w:rFonts w:hint="default"/>
              </w:rPr>
              <w:t>（</w:t>
            </w:r>
            <w:proofErr w:type="spellStart"/>
            <w:r w:rsidRPr="00D3155A">
              <w:rPr>
                <w:rStyle w:val="a5"/>
                <w:rFonts w:hint="default"/>
              </w:rPr>
              <w:t>a</w:t>
            </w:r>
            <w:proofErr w:type="spellEnd"/>
            <w:r w:rsidRPr="00D3155A">
              <w:rPr>
                <w:rStyle w:val="a5"/>
                <w:rFonts w:hint="default"/>
              </w:rPr>
              <w:t>）</w:t>
            </w:r>
            <w:r w:rsidRPr="00D3155A">
              <w:rPr>
                <w:rStyle w:val="a5"/>
                <w:rFonts w:hint="default"/>
              </w:rPr>
              <w:t>H2O</w:t>
            </w:r>
            <w:r w:rsidRPr="00D3155A">
              <w:rPr>
                <w:rStyle w:val="a5"/>
                <w:rFonts w:hint="default"/>
              </w:rPr>
              <w:t>－</w:t>
            </w:r>
            <w:r w:rsidRPr="00D3155A">
              <w:rPr>
                <w:rStyle w:val="a5"/>
                <w:rFonts w:hint="default"/>
              </w:rPr>
              <w:t>H2O</w:t>
            </w:r>
            <w:r w:rsidRPr="00D3155A">
              <w:rPr>
                <w:rStyle w:val="a5"/>
                <w:rFonts w:hint="default"/>
              </w:rPr>
              <w:t>循环（</w:t>
            </w:r>
            <w:r w:rsidRPr="00D3155A">
              <w:rPr>
                <w:rStyle w:val="a5"/>
                <w:rFonts w:hint="default"/>
              </w:rPr>
              <w:t>b</w:t>
            </w:r>
            <w:r w:rsidRPr="00D3155A">
              <w:rPr>
                <w:rStyle w:val="a5"/>
                <w:rFonts w:hint="default"/>
              </w:rPr>
              <w:t>）抗坏血酸－谷胱甘肽循环（</w:t>
            </w:r>
            <w:r w:rsidRPr="00D3155A">
              <w:rPr>
                <w:rStyle w:val="a5"/>
                <w:rFonts w:hint="default"/>
              </w:rPr>
              <w:t>c</w:t>
            </w:r>
            <w:r w:rsidRPr="00D3155A">
              <w:rPr>
                <w:rStyle w:val="a5"/>
                <w:rFonts w:hint="default"/>
              </w:rPr>
              <w:t>）谷胱甘肽过氧化酶循环</w:t>
            </w:r>
            <w:r w:rsidRPr="00D3155A">
              <w:rPr>
                <w:rStyle w:val="a5"/>
                <w:rFonts w:hint="default"/>
              </w:rPr>
              <w:t xml:space="preserve"> </w:t>
            </w:r>
            <w:r w:rsidRPr="00D3155A">
              <w:rPr>
                <w:rStyle w:val="a5"/>
                <w:rFonts w:hint="default"/>
              </w:rPr>
              <w:t>（</w:t>
            </w:r>
            <w:r w:rsidRPr="00D3155A">
              <w:rPr>
                <w:rStyle w:val="a5"/>
                <w:rFonts w:hint="default"/>
              </w:rPr>
              <w:t>d</w:t>
            </w:r>
            <w:r w:rsidRPr="00D3155A">
              <w:rPr>
                <w:rStyle w:val="a5"/>
                <w:rFonts w:hint="default"/>
              </w:rPr>
              <w:t>）过氧化物酶途径。</w:t>
            </w:r>
            <w:r w:rsidRPr="00D3155A">
              <w:rPr>
                <w:rStyle w:val="a5"/>
                <w:rFonts w:hint="default"/>
              </w:rPr>
              <w:t>SOD</w:t>
            </w:r>
            <w:r w:rsidRPr="00D3155A">
              <w:rPr>
                <w:rStyle w:val="a5"/>
                <w:rFonts w:hint="default"/>
              </w:rPr>
              <w:t>是植物体中活性氧清除的第一道防线，将</w:t>
            </w:r>
            <w:r w:rsidRPr="00D3155A">
              <w:rPr>
                <w:rStyle w:val="a5"/>
                <w:rFonts w:hint="default"/>
              </w:rPr>
              <w:t xml:space="preserve"> O2-·</w:t>
            </w:r>
            <w:r w:rsidRPr="00D3155A">
              <w:rPr>
                <w:rStyle w:val="a5"/>
                <w:rFonts w:hint="default"/>
              </w:rPr>
              <w:t>转化为</w:t>
            </w:r>
            <w:r w:rsidRPr="00D3155A">
              <w:rPr>
                <w:rStyle w:val="a5"/>
                <w:rFonts w:hint="default"/>
              </w:rPr>
              <w:t>H2O2</w:t>
            </w:r>
            <w:r w:rsidRPr="00D3155A">
              <w:rPr>
                <w:rStyle w:val="a5"/>
                <w:rFonts w:hint="default"/>
              </w:rPr>
              <w:t>。</w:t>
            </w:r>
            <w:r w:rsidRPr="00D3155A">
              <w:rPr>
                <w:rStyle w:val="a5"/>
                <w:rFonts w:hint="default"/>
              </w:rPr>
              <w:t>APX</w:t>
            </w:r>
            <w:r w:rsidRPr="00D3155A">
              <w:rPr>
                <w:rStyle w:val="a5"/>
                <w:rFonts w:hint="default"/>
              </w:rPr>
              <w:t>、</w:t>
            </w:r>
            <w:r w:rsidRPr="00D3155A">
              <w:rPr>
                <w:rStyle w:val="a5"/>
                <w:rFonts w:hint="default"/>
              </w:rPr>
              <w:t>GPX</w:t>
            </w:r>
            <w:r w:rsidRPr="00D3155A">
              <w:rPr>
                <w:rStyle w:val="a5"/>
                <w:rFonts w:hint="default"/>
              </w:rPr>
              <w:t>和</w:t>
            </w:r>
            <w:r w:rsidRPr="00D3155A">
              <w:rPr>
                <w:rStyle w:val="a5"/>
                <w:rFonts w:hint="default"/>
              </w:rPr>
              <w:t>CAT</w:t>
            </w:r>
            <w:r w:rsidRPr="00D3155A">
              <w:rPr>
                <w:rStyle w:val="a5"/>
                <w:rFonts w:hint="default"/>
              </w:rPr>
              <w:t>酶分解</w:t>
            </w:r>
            <w:r w:rsidRPr="00D3155A">
              <w:rPr>
                <w:rStyle w:val="a5"/>
                <w:rFonts w:hint="default"/>
              </w:rPr>
              <w:t>H2O2</w:t>
            </w:r>
            <w:r w:rsidRPr="00D3155A">
              <w:rPr>
                <w:rStyle w:val="a5"/>
                <w:rFonts w:hint="default"/>
              </w:rPr>
              <w:t>。与</w:t>
            </w:r>
            <w:r w:rsidRPr="00D3155A">
              <w:rPr>
                <w:rStyle w:val="a5"/>
                <w:rFonts w:hint="default"/>
              </w:rPr>
              <w:t>CAT</w:t>
            </w:r>
            <w:r w:rsidRPr="00D3155A">
              <w:rPr>
                <w:rStyle w:val="a5"/>
                <w:rFonts w:hint="default"/>
              </w:rPr>
              <w:t>酶（</w:t>
            </w:r>
            <w:r w:rsidRPr="00D3155A">
              <w:rPr>
                <w:rStyle w:val="a5"/>
                <w:rFonts w:hint="default"/>
              </w:rPr>
              <w:t>d</w:t>
            </w:r>
            <w:r w:rsidRPr="00D3155A">
              <w:rPr>
                <w:rStyle w:val="a5"/>
                <w:rFonts w:hint="default"/>
              </w:rPr>
              <w:t>）不同，</w:t>
            </w:r>
            <w:r w:rsidRPr="00D3155A">
              <w:rPr>
                <w:rStyle w:val="a5"/>
                <w:rFonts w:hint="default"/>
              </w:rPr>
              <w:t>APX</w:t>
            </w:r>
            <w:r w:rsidRPr="00D3155A">
              <w:rPr>
                <w:rStyle w:val="a5"/>
                <w:rFonts w:hint="default"/>
              </w:rPr>
              <w:t>和</w:t>
            </w:r>
            <w:r w:rsidRPr="00D3155A">
              <w:rPr>
                <w:rStyle w:val="a5"/>
                <w:rFonts w:hint="default"/>
              </w:rPr>
              <w:t>GPX</w:t>
            </w:r>
            <w:r w:rsidRPr="00D3155A">
              <w:rPr>
                <w:rStyle w:val="a5"/>
                <w:rFonts w:hint="default"/>
              </w:rPr>
              <w:t>依赖于抗坏血酸－谷胱甘肽循环的再生循环（</w:t>
            </w:r>
            <w:r w:rsidRPr="00D3155A">
              <w:rPr>
                <w:rStyle w:val="a5"/>
                <w:rFonts w:hint="default"/>
              </w:rPr>
              <w:t>a-c</w:t>
            </w:r>
            <w:r w:rsidRPr="00D3155A">
              <w:rPr>
                <w:rStyle w:val="a5"/>
                <w:rFonts w:hint="default"/>
              </w:rPr>
              <w:t>），这一循环直接利用光合器官（</w:t>
            </w:r>
            <w:r w:rsidRPr="00D3155A">
              <w:rPr>
                <w:rStyle w:val="a5"/>
                <w:rFonts w:hint="default"/>
              </w:rPr>
              <w:t>a</w:t>
            </w:r>
            <w:r w:rsidRPr="00D3155A">
              <w:rPr>
                <w:rStyle w:val="a5"/>
                <w:rFonts w:hint="default"/>
              </w:rPr>
              <w:t>）或</w:t>
            </w:r>
            <w:r w:rsidRPr="00D3155A">
              <w:rPr>
                <w:rStyle w:val="a5"/>
                <w:rFonts w:hint="default"/>
              </w:rPr>
              <w:t>NAD(P)H</w:t>
            </w:r>
            <w:r w:rsidRPr="00D3155A">
              <w:rPr>
                <w:rStyle w:val="a5"/>
                <w:rFonts w:hint="default"/>
              </w:rPr>
              <w:t>（</w:t>
            </w:r>
            <w:r w:rsidRPr="00D3155A">
              <w:rPr>
                <w:rStyle w:val="a5"/>
                <w:rFonts w:hint="default"/>
              </w:rPr>
              <w:t>b</w:t>
            </w:r>
            <w:r w:rsidRPr="00D3155A">
              <w:rPr>
                <w:rStyle w:val="a5"/>
                <w:rFonts w:hint="default"/>
              </w:rPr>
              <w:t>，</w:t>
            </w:r>
            <w:r w:rsidRPr="00D3155A">
              <w:rPr>
                <w:rStyle w:val="a5"/>
                <w:rFonts w:hint="default"/>
              </w:rPr>
              <w:t>c</w:t>
            </w:r>
            <w:r w:rsidRPr="00D3155A">
              <w:rPr>
                <w:rStyle w:val="a5"/>
                <w:rFonts w:hint="default"/>
              </w:rPr>
              <w:t>）的电子作为还原力。</w:t>
            </w:r>
          </w:p>
          <w:p w:rsidR="00FD1477" w:rsidRPr="00D3155A" w:rsidRDefault="00FD1477" w:rsidP="000F52A1">
            <w:pPr>
              <w:spacing w:line="360" w:lineRule="auto"/>
              <w:ind w:firstLineChars="196" w:firstLine="472"/>
              <w:rPr>
                <w:b/>
                <w:bCs/>
                <w:sz w:val="24"/>
              </w:rPr>
            </w:pPr>
            <w:r>
              <w:rPr>
                <w:rFonts w:hint="eastAsia"/>
                <w:b/>
                <w:bCs/>
                <w:sz w:val="24"/>
              </w:rPr>
              <w:t>3</w:t>
            </w:r>
            <w:r w:rsidRPr="00D3155A">
              <w:rPr>
                <w:rFonts w:hint="eastAsia"/>
                <w:b/>
                <w:bCs/>
                <w:sz w:val="24"/>
              </w:rPr>
              <w:t>、</w:t>
            </w:r>
            <w:r w:rsidRPr="00D3155A">
              <w:rPr>
                <w:b/>
                <w:bCs/>
                <w:sz w:val="24"/>
              </w:rPr>
              <w:t>细胞抗氧化系统与生物逆境关系的研究进展</w:t>
            </w:r>
          </w:p>
          <w:p w:rsidR="00FD1477" w:rsidRPr="00D3155A" w:rsidRDefault="00FD1477" w:rsidP="000F52A1">
            <w:pPr>
              <w:spacing w:line="360" w:lineRule="auto"/>
              <w:ind w:firstLineChars="200" w:firstLine="480"/>
              <w:rPr>
                <w:sz w:val="24"/>
              </w:rPr>
            </w:pPr>
            <w:r w:rsidRPr="00D3155A">
              <w:rPr>
                <w:sz w:val="24"/>
              </w:rPr>
              <w:t>众多研究证实：植物病害的发生与抗氧化系统酶活性关系紧密，并且抗病植株抗氧化系统酶活性显著高于感病植株。匡传富等</w:t>
            </w:r>
            <w:r w:rsidRPr="00D3155A">
              <w:rPr>
                <w:sz w:val="24"/>
              </w:rPr>
              <w:t>[</w:t>
            </w:r>
            <w:r>
              <w:rPr>
                <w:rFonts w:hint="eastAsia"/>
                <w:sz w:val="24"/>
              </w:rPr>
              <w:t>2012</w:t>
            </w:r>
            <w:r w:rsidRPr="00D3155A">
              <w:rPr>
                <w:sz w:val="24"/>
              </w:rPr>
              <w:t>]</w:t>
            </w:r>
            <w:r w:rsidRPr="00D3155A">
              <w:rPr>
                <w:sz w:val="24"/>
              </w:rPr>
              <w:t>在烟草青枯病菌研究中发现，当受到病菌侵染时，抗病品种的</w:t>
            </w:r>
            <w:r w:rsidRPr="00D3155A">
              <w:rPr>
                <w:sz w:val="24"/>
              </w:rPr>
              <w:t>SOD</w:t>
            </w:r>
            <w:r w:rsidRPr="00D3155A">
              <w:rPr>
                <w:sz w:val="24"/>
              </w:rPr>
              <w:t>酶活性显著高于感病品种。房保海</w:t>
            </w:r>
            <w:r w:rsidRPr="00D3155A">
              <w:rPr>
                <w:sz w:val="24"/>
                <w:vertAlign w:val="superscript"/>
              </w:rPr>
              <w:t>[54]</w:t>
            </w:r>
            <w:r w:rsidRPr="00D3155A">
              <w:rPr>
                <w:sz w:val="24"/>
              </w:rPr>
              <w:t>在烟草低头黑病菌的研究中发现，烤烟在受到病菌侵染时</w:t>
            </w:r>
            <w:r w:rsidRPr="00D3155A">
              <w:rPr>
                <w:sz w:val="24"/>
              </w:rPr>
              <w:t xml:space="preserve">SOD </w:t>
            </w:r>
            <w:r w:rsidRPr="00D3155A">
              <w:rPr>
                <w:sz w:val="24"/>
              </w:rPr>
              <w:t>活性变化趋势为</w:t>
            </w:r>
            <w:r w:rsidRPr="00D3155A">
              <w:rPr>
                <w:sz w:val="24"/>
              </w:rPr>
              <w:t>“</w:t>
            </w:r>
            <w:r w:rsidRPr="00D3155A">
              <w:rPr>
                <w:sz w:val="24"/>
              </w:rPr>
              <w:t>升</w:t>
            </w:r>
            <w:r w:rsidRPr="00D3155A">
              <w:rPr>
                <w:sz w:val="24"/>
              </w:rPr>
              <w:t>-</w:t>
            </w:r>
            <w:r w:rsidRPr="00D3155A">
              <w:rPr>
                <w:sz w:val="24"/>
              </w:rPr>
              <w:t>降</w:t>
            </w:r>
            <w:r w:rsidRPr="00D3155A">
              <w:rPr>
                <w:sz w:val="24"/>
              </w:rPr>
              <w:t>”</w:t>
            </w:r>
            <w:r w:rsidRPr="00D3155A">
              <w:rPr>
                <w:sz w:val="24"/>
              </w:rPr>
              <w:t>，与品种抗病性无关，不过在植株感病时期，抗病品种（</w:t>
            </w:r>
            <w:r w:rsidRPr="00D3155A">
              <w:rPr>
                <w:sz w:val="24"/>
              </w:rPr>
              <w:t>Burley21</w:t>
            </w:r>
            <w:r w:rsidRPr="00D3155A">
              <w:rPr>
                <w:sz w:val="24"/>
              </w:rPr>
              <w:t>）的</w:t>
            </w:r>
            <w:r w:rsidRPr="00D3155A">
              <w:rPr>
                <w:sz w:val="24"/>
              </w:rPr>
              <w:t>SOD</w:t>
            </w:r>
            <w:r w:rsidRPr="00D3155A">
              <w:rPr>
                <w:sz w:val="24"/>
              </w:rPr>
              <w:t>酶活性要强于和感病品种（</w:t>
            </w:r>
            <w:r w:rsidRPr="00D3155A">
              <w:rPr>
                <w:sz w:val="24"/>
              </w:rPr>
              <w:t>Nc82</w:t>
            </w:r>
            <w:r w:rsidRPr="00D3155A">
              <w:rPr>
                <w:sz w:val="24"/>
              </w:rPr>
              <w:t>）。周晓慧</w:t>
            </w:r>
            <w:r w:rsidRPr="00D3155A">
              <w:rPr>
                <w:sz w:val="24"/>
              </w:rPr>
              <w:t>[</w:t>
            </w:r>
            <w:r>
              <w:rPr>
                <w:rFonts w:hint="eastAsia"/>
                <w:sz w:val="24"/>
              </w:rPr>
              <w:t>2007</w:t>
            </w:r>
            <w:r w:rsidRPr="00D3155A">
              <w:rPr>
                <w:sz w:val="24"/>
              </w:rPr>
              <w:t>]</w:t>
            </w:r>
            <w:r w:rsidRPr="00D3155A">
              <w:rPr>
                <w:sz w:val="24"/>
              </w:rPr>
              <w:t>等在蔓枯病菌侵染甜瓜研究的研究中也得到了与匡传富同样的结论，说明抗病品种和感病品种的差异主要取决于该品种抗氧化系统酶活性。</w:t>
            </w:r>
          </w:p>
          <w:p w:rsidR="00FD1477" w:rsidRPr="00D3155A" w:rsidRDefault="00FD1477" w:rsidP="000F52A1">
            <w:pPr>
              <w:pStyle w:val="3"/>
              <w:spacing w:beforeLines="0" w:line="360" w:lineRule="auto"/>
              <w:ind w:firstLineChars="196" w:firstLine="472"/>
              <w:rPr>
                <w:rFonts w:ascii="宋体" w:eastAsia="宋体" w:hAnsi="宋体"/>
                <w:b/>
              </w:rPr>
            </w:pPr>
            <w:r>
              <w:rPr>
                <w:rFonts w:ascii="宋体" w:eastAsia="宋体" w:hAnsi="宋体" w:hint="eastAsia"/>
                <w:b/>
              </w:rPr>
              <w:lastRenderedPageBreak/>
              <w:t>4</w:t>
            </w:r>
            <w:r w:rsidRPr="00D3155A">
              <w:rPr>
                <w:rFonts w:ascii="宋体" w:eastAsia="宋体" w:hAnsi="宋体" w:hint="eastAsia"/>
                <w:b/>
              </w:rPr>
              <w:t>、</w:t>
            </w:r>
            <w:r w:rsidRPr="00D3155A">
              <w:rPr>
                <w:rFonts w:ascii="宋体" w:eastAsia="宋体" w:hAnsi="宋体"/>
                <w:b/>
              </w:rPr>
              <w:t>烤烟不同育苗方式的研究进展</w:t>
            </w:r>
          </w:p>
          <w:p w:rsidR="00FD1477" w:rsidRPr="00D3155A" w:rsidRDefault="00FD1477" w:rsidP="000F52A1">
            <w:pPr>
              <w:spacing w:line="360" w:lineRule="auto"/>
              <w:ind w:firstLineChars="200" w:firstLine="480"/>
              <w:rPr>
                <w:sz w:val="24"/>
              </w:rPr>
            </w:pPr>
            <w:r w:rsidRPr="00D3155A">
              <w:rPr>
                <w:sz w:val="24"/>
              </w:rPr>
              <w:t>育苗工作是农作物生产工作中重要组成部分，育苗方式的差异将直接影响到幼苗的素质及农作物的大田生长，甚至会影响到农作物的产质量及经济形状。在前人对几种常见农作物的研究中，不同育苗方式对烤烟、水稻、棉花、番茄、辣椒、茄子、当归生长发育及产质量均有较大影响。</w:t>
            </w:r>
          </w:p>
          <w:p w:rsidR="00FD1477" w:rsidRPr="00D3155A" w:rsidRDefault="00FD1477" w:rsidP="000F52A1">
            <w:pPr>
              <w:spacing w:line="360" w:lineRule="auto"/>
              <w:ind w:firstLineChars="200" w:firstLine="480"/>
              <w:rPr>
                <w:sz w:val="24"/>
              </w:rPr>
            </w:pPr>
            <w:r w:rsidRPr="00D3155A">
              <w:rPr>
                <w:sz w:val="24"/>
              </w:rPr>
              <w:t>烟草传入中国的几百年间，随着烟草育苗技术的改进，中国烟叶无论是在产量还是品质都得到了巨大的提升，为我国的烟草事业的快速健康发展打下了良好的基础。</w:t>
            </w:r>
          </w:p>
          <w:p w:rsidR="00FD1477" w:rsidRPr="00D3155A" w:rsidRDefault="00FD1477" w:rsidP="000F52A1">
            <w:pPr>
              <w:spacing w:line="360" w:lineRule="auto"/>
              <w:ind w:firstLineChars="196" w:firstLine="470"/>
              <w:rPr>
                <w:sz w:val="24"/>
              </w:rPr>
            </w:pPr>
            <w:r w:rsidRPr="00152CAA">
              <w:rPr>
                <w:rFonts w:hint="eastAsia"/>
                <w:sz w:val="24"/>
              </w:rPr>
              <w:t>（</w:t>
            </w:r>
            <w:r w:rsidRPr="00152CAA">
              <w:rPr>
                <w:rFonts w:hint="eastAsia"/>
                <w:sz w:val="24"/>
              </w:rPr>
              <w:t>1</w:t>
            </w:r>
            <w:r w:rsidRPr="00152CAA">
              <w:rPr>
                <w:rFonts w:hint="eastAsia"/>
                <w:sz w:val="24"/>
              </w:rPr>
              <w:t>）、</w:t>
            </w:r>
            <w:r w:rsidRPr="00152CAA">
              <w:rPr>
                <w:sz w:val="24"/>
              </w:rPr>
              <w:t>漂浮育苗：</w:t>
            </w:r>
            <w:r w:rsidRPr="00D3155A">
              <w:rPr>
                <w:sz w:val="24"/>
              </w:rPr>
              <w:t>漂浮育苗是一种新型的无土育苗方法，利用营养基质代替传统土壤，将种子播种在装有基质的育苗盘内</w:t>
            </w:r>
            <w:r>
              <w:rPr>
                <w:rFonts w:hint="eastAsia"/>
                <w:sz w:val="24"/>
              </w:rPr>
              <w:t>，</w:t>
            </w:r>
            <w:r w:rsidRPr="00D3155A">
              <w:rPr>
                <w:sz w:val="24"/>
              </w:rPr>
              <w:t>将育苗盘漂浮于育苗池营养液之上</w:t>
            </w:r>
            <w:r>
              <w:rPr>
                <w:rFonts w:hint="eastAsia"/>
                <w:sz w:val="24"/>
              </w:rPr>
              <w:t>，</w:t>
            </w:r>
            <w:r w:rsidRPr="00D3155A">
              <w:rPr>
                <w:sz w:val="24"/>
              </w:rPr>
              <w:t xml:space="preserve"> </w:t>
            </w:r>
            <w:r w:rsidRPr="00D3155A">
              <w:rPr>
                <w:sz w:val="24"/>
              </w:rPr>
              <w:t>营养液通过渗透到达基质</w:t>
            </w:r>
            <w:r>
              <w:rPr>
                <w:rFonts w:hint="eastAsia"/>
                <w:sz w:val="24"/>
              </w:rPr>
              <w:t>，</w:t>
            </w:r>
            <w:r w:rsidRPr="00D3155A">
              <w:rPr>
                <w:sz w:val="24"/>
              </w:rPr>
              <w:t>为烟苗的生长发育提供所需的水分及养料，从而完成烤烟整个育苗过程。</w:t>
            </w:r>
          </w:p>
          <w:p w:rsidR="00FD1477" w:rsidRPr="00D3155A" w:rsidRDefault="00FD1477" w:rsidP="000F52A1">
            <w:pPr>
              <w:spacing w:line="360" w:lineRule="auto"/>
              <w:ind w:firstLineChars="200" w:firstLine="480"/>
              <w:rPr>
                <w:sz w:val="24"/>
              </w:rPr>
            </w:pPr>
            <w:r w:rsidRPr="00D3155A">
              <w:rPr>
                <w:sz w:val="24"/>
              </w:rPr>
              <w:t>烤烟漂浮育苗技术最早在美国兴起，之后在中国逐步推广。其主要优点包括以下几个方面：</w:t>
            </w:r>
            <w:r>
              <w:rPr>
                <w:rFonts w:hint="eastAsia"/>
                <w:sz w:val="24"/>
              </w:rPr>
              <w:t>（</w:t>
            </w:r>
            <w:r w:rsidRPr="00D3155A">
              <w:rPr>
                <w:sz w:val="24"/>
              </w:rPr>
              <w:t>1</w:t>
            </w:r>
            <w:r>
              <w:rPr>
                <w:rFonts w:hint="eastAsia"/>
                <w:sz w:val="24"/>
              </w:rPr>
              <w:t>）</w:t>
            </w:r>
            <w:r w:rsidRPr="00D3155A">
              <w:rPr>
                <w:sz w:val="24"/>
              </w:rPr>
              <w:t>漂浮育苗采用无土栽培模式，极大地避免了土传病害。</w:t>
            </w:r>
            <w:r>
              <w:rPr>
                <w:rFonts w:hint="eastAsia"/>
                <w:sz w:val="24"/>
              </w:rPr>
              <w:t>（</w:t>
            </w:r>
            <w:r>
              <w:rPr>
                <w:rFonts w:hint="eastAsia"/>
                <w:sz w:val="24"/>
              </w:rPr>
              <w:t>2</w:t>
            </w:r>
            <w:r>
              <w:rPr>
                <w:rFonts w:hint="eastAsia"/>
                <w:sz w:val="24"/>
              </w:rPr>
              <w:t>）</w:t>
            </w:r>
            <w:r w:rsidRPr="00D3155A">
              <w:rPr>
                <w:sz w:val="24"/>
              </w:rPr>
              <w:t>漂浮育苗生长旺盛，根系发达，长势整齐。</w:t>
            </w:r>
            <w:r>
              <w:rPr>
                <w:rFonts w:hint="eastAsia"/>
                <w:sz w:val="24"/>
              </w:rPr>
              <w:t>（</w:t>
            </w:r>
            <w:r>
              <w:rPr>
                <w:rFonts w:hint="eastAsia"/>
                <w:sz w:val="24"/>
              </w:rPr>
              <w:t>3</w:t>
            </w:r>
            <w:r>
              <w:rPr>
                <w:rFonts w:hint="eastAsia"/>
                <w:sz w:val="24"/>
              </w:rPr>
              <w:t>）</w:t>
            </w:r>
            <w:r w:rsidRPr="00D3155A">
              <w:rPr>
                <w:sz w:val="24"/>
              </w:rPr>
              <w:t>移栽后能尽快适应大田环境，生长旺盛，提高烟叶产质量。</w:t>
            </w:r>
            <w:r>
              <w:rPr>
                <w:rFonts w:hint="eastAsia"/>
                <w:sz w:val="24"/>
              </w:rPr>
              <w:t>（</w:t>
            </w:r>
            <w:r>
              <w:rPr>
                <w:rFonts w:hint="eastAsia"/>
                <w:sz w:val="24"/>
              </w:rPr>
              <w:t>4</w:t>
            </w:r>
            <w:r>
              <w:rPr>
                <w:rFonts w:hint="eastAsia"/>
                <w:sz w:val="24"/>
              </w:rPr>
              <w:t>）</w:t>
            </w:r>
            <w:r w:rsidRPr="00D3155A">
              <w:rPr>
                <w:sz w:val="24"/>
              </w:rPr>
              <w:t>育苗管理工作简单方便，可以有效降低育苗成本。当然，在漂浮育苗的应用过程中也遇到了一些问题：漂浮育苗建立苗棚等基础设施一次性投资较大</w:t>
            </w:r>
            <w:r>
              <w:rPr>
                <w:rFonts w:hint="eastAsia"/>
                <w:sz w:val="24"/>
              </w:rPr>
              <w:t>，</w:t>
            </w:r>
            <w:r w:rsidRPr="00D3155A">
              <w:rPr>
                <w:sz w:val="24"/>
              </w:rPr>
              <w:t>除了育苗应用范围不广，造成不必要的浪费。此外漂浮育苗所采用的基质是不可再生的草炭资源，不利于可持续发展。此外，漂浮育苗所培育出的根系是水生根，移栽之后无疑会增加还苗期，影响烤烟大田生产。</w:t>
            </w:r>
          </w:p>
          <w:p w:rsidR="00FD1477" w:rsidRPr="00D3155A" w:rsidRDefault="00FD1477" w:rsidP="000F52A1">
            <w:pPr>
              <w:spacing w:line="360" w:lineRule="auto"/>
              <w:ind w:firstLineChars="200" w:firstLine="480"/>
              <w:rPr>
                <w:sz w:val="24"/>
              </w:rPr>
            </w:pPr>
            <w:r w:rsidRPr="00152CAA">
              <w:rPr>
                <w:rFonts w:hint="eastAsia"/>
                <w:sz w:val="24"/>
              </w:rPr>
              <w:t>（</w:t>
            </w:r>
            <w:r w:rsidRPr="00152CAA">
              <w:rPr>
                <w:rFonts w:hint="eastAsia"/>
                <w:sz w:val="24"/>
              </w:rPr>
              <w:t>1</w:t>
            </w:r>
            <w:r w:rsidRPr="00152CAA">
              <w:rPr>
                <w:rFonts w:hint="eastAsia"/>
                <w:sz w:val="24"/>
              </w:rPr>
              <w:t>）</w:t>
            </w:r>
            <w:r>
              <w:rPr>
                <w:rFonts w:hint="eastAsia"/>
                <w:sz w:val="24"/>
              </w:rPr>
              <w:t>、</w:t>
            </w:r>
            <w:r w:rsidRPr="00152CAA">
              <w:rPr>
                <w:sz w:val="24"/>
              </w:rPr>
              <w:t>两段式育苗：</w:t>
            </w:r>
            <w:r w:rsidRPr="00D3155A">
              <w:rPr>
                <w:sz w:val="24"/>
              </w:rPr>
              <w:t>为应对湖南烟区育苗期间</w:t>
            </w:r>
            <w:r w:rsidRPr="00D3155A">
              <w:rPr>
                <w:sz w:val="24"/>
              </w:rPr>
              <w:t>“</w:t>
            </w:r>
            <w:r w:rsidRPr="00D3155A">
              <w:rPr>
                <w:sz w:val="24"/>
              </w:rPr>
              <w:t>低温寡照</w:t>
            </w:r>
            <w:r w:rsidRPr="00D3155A">
              <w:rPr>
                <w:sz w:val="24"/>
              </w:rPr>
              <w:t>”</w:t>
            </w:r>
            <w:r w:rsidRPr="00D3155A">
              <w:rPr>
                <w:sz w:val="24"/>
              </w:rPr>
              <w:t>不利气候条件，郴州烟区因地制宜，采用的是两段式育苗，这种育苗方式是将漂浮育苗分为两个阶段：第一阶段用孔径较小、孔穴数较多（常用</w:t>
            </w:r>
            <w:r w:rsidRPr="00D3155A">
              <w:rPr>
                <w:sz w:val="24"/>
              </w:rPr>
              <w:t>504</w:t>
            </w:r>
            <w:r w:rsidRPr="00D3155A">
              <w:rPr>
                <w:sz w:val="24"/>
              </w:rPr>
              <w:t>孔左右）的漂盘播种进行漂浮育苗；第二阶段是当烟苗长出第</w:t>
            </w:r>
            <w:r w:rsidRPr="00D3155A">
              <w:rPr>
                <w:sz w:val="24"/>
              </w:rPr>
              <w:t>6</w:t>
            </w:r>
            <w:r w:rsidRPr="00D3155A">
              <w:rPr>
                <w:sz w:val="24"/>
              </w:rPr>
              <w:t>片真叶时假植到装满营养土的托盘中继续生长，培育成适龄壮苗，然后再移栽到大田。具有生产集约化、管理规范化、烟苗生长一致、病虫害发生少、烟苗缓苗期短、烟苗健壮、移栽简便等优点，两段式漂浮育苗可以有效提高烟苗素质，保障大田烟株的早生快发。缺点是增加假植这一环节，费工费时。</w:t>
            </w:r>
          </w:p>
          <w:p w:rsidR="00FD1477" w:rsidRPr="00D3155A" w:rsidRDefault="00FD1477" w:rsidP="000F52A1">
            <w:pPr>
              <w:spacing w:line="360" w:lineRule="auto"/>
              <w:ind w:firstLineChars="200" w:firstLine="480"/>
              <w:rPr>
                <w:sz w:val="24"/>
              </w:rPr>
            </w:pPr>
            <w:r w:rsidRPr="00152CAA">
              <w:rPr>
                <w:rFonts w:hint="eastAsia"/>
                <w:sz w:val="24"/>
              </w:rPr>
              <w:t>（</w:t>
            </w:r>
            <w:r>
              <w:rPr>
                <w:rFonts w:hint="eastAsia"/>
                <w:sz w:val="24"/>
              </w:rPr>
              <w:t>3</w:t>
            </w:r>
            <w:r w:rsidRPr="00152CAA">
              <w:rPr>
                <w:rFonts w:hint="eastAsia"/>
                <w:sz w:val="24"/>
              </w:rPr>
              <w:t>）、</w:t>
            </w:r>
            <w:r w:rsidRPr="00152CAA">
              <w:rPr>
                <w:sz w:val="24"/>
              </w:rPr>
              <w:t>浅水育苗</w:t>
            </w:r>
            <w:r w:rsidRPr="00152CAA">
              <w:rPr>
                <w:rFonts w:hint="eastAsia"/>
                <w:sz w:val="24"/>
              </w:rPr>
              <w:t>：</w:t>
            </w:r>
            <w:r w:rsidRPr="00D3155A">
              <w:rPr>
                <w:sz w:val="24"/>
              </w:rPr>
              <w:t>湖南宁乡烟区采用的浅水育苗在普通漂浮育苗的基础上加以改进，采用占有空间小，造价比较低的</w:t>
            </w:r>
            <w:r w:rsidRPr="00D3155A">
              <w:rPr>
                <w:sz w:val="24"/>
              </w:rPr>
              <w:t>PVC(</w:t>
            </w:r>
            <w:r w:rsidRPr="00D3155A">
              <w:rPr>
                <w:sz w:val="24"/>
              </w:rPr>
              <w:t>聚氯乙烯</w:t>
            </w:r>
            <w:r w:rsidRPr="00D3155A">
              <w:rPr>
                <w:sz w:val="24"/>
              </w:rPr>
              <w:t>)</w:t>
            </w:r>
            <w:r w:rsidRPr="00D3155A">
              <w:rPr>
                <w:sz w:val="24"/>
              </w:rPr>
              <w:t>或</w:t>
            </w:r>
            <w:r w:rsidRPr="00D3155A">
              <w:rPr>
                <w:sz w:val="24"/>
              </w:rPr>
              <w:t>PS(</w:t>
            </w:r>
            <w:r w:rsidRPr="00D3155A">
              <w:rPr>
                <w:sz w:val="24"/>
              </w:rPr>
              <w:t>聚苯乙烯</w:t>
            </w:r>
            <w:r w:rsidRPr="00D3155A">
              <w:rPr>
                <w:sz w:val="24"/>
              </w:rPr>
              <w:t>)</w:t>
            </w:r>
            <w:r w:rsidRPr="00D3155A">
              <w:rPr>
                <w:sz w:val="24"/>
              </w:rPr>
              <w:t>加工的塑料盘，育苗池内水深也只需要</w:t>
            </w:r>
            <w:r w:rsidRPr="00D3155A">
              <w:rPr>
                <w:sz w:val="24"/>
              </w:rPr>
              <w:t>0.03-0.04m</w:t>
            </w:r>
            <w:r w:rsidRPr="00D3155A">
              <w:rPr>
                <w:sz w:val="24"/>
              </w:rPr>
              <w:t>。大大减少了育苗用水量，且池水温度上升快，有利于烟苗的快速增长。缺点同样明显，由于育苗池内水量较少，必然增加添水频率，且育苗池中水的营养物质浓度难以保障。不过烟草浅水育苗水分自动添加系统的发</w:t>
            </w:r>
            <w:r w:rsidRPr="00D3155A">
              <w:rPr>
                <w:sz w:val="24"/>
              </w:rPr>
              <w:lastRenderedPageBreak/>
              <w:t>明，让浅水育苗的应用范围更广阔。</w:t>
            </w:r>
          </w:p>
          <w:p w:rsidR="00FD1477" w:rsidRPr="00D3155A" w:rsidRDefault="00FD1477" w:rsidP="000F52A1">
            <w:pPr>
              <w:spacing w:line="360" w:lineRule="auto"/>
              <w:ind w:firstLineChars="150" w:firstLine="360"/>
              <w:rPr>
                <w:sz w:val="24"/>
              </w:rPr>
            </w:pPr>
            <w:r w:rsidRPr="00152CAA">
              <w:rPr>
                <w:rFonts w:hint="eastAsia"/>
                <w:sz w:val="24"/>
              </w:rPr>
              <w:t>（</w:t>
            </w:r>
            <w:r w:rsidRPr="00152CAA">
              <w:rPr>
                <w:rFonts w:hint="eastAsia"/>
                <w:sz w:val="24"/>
              </w:rPr>
              <w:t>4</w:t>
            </w:r>
            <w:r w:rsidRPr="00152CAA">
              <w:rPr>
                <w:rFonts w:hint="eastAsia"/>
                <w:sz w:val="24"/>
              </w:rPr>
              <w:t>）、</w:t>
            </w:r>
            <w:r w:rsidRPr="00152CAA">
              <w:rPr>
                <w:sz w:val="24"/>
              </w:rPr>
              <w:t>浅水</w:t>
            </w:r>
            <w:r w:rsidRPr="00152CAA">
              <w:rPr>
                <w:rFonts w:hint="eastAsia"/>
                <w:sz w:val="24"/>
              </w:rPr>
              <w:t>-</w:t>
            </w:r>
            <w:r w:rsidRPr="00152CAA">
              <w:rPr>
                <w:sz w:val="24"/>
              </w:rPr>
              <w:t>两段式育苗：</w:t>
            </w:r>
            <w:r w:rsidRPr="00D3155A">
              <w:rPr>
                <w:sz w:val="24"/>
              </w:rPr>
              <w:t>本文研究的一种育苗方式，集中浅水育苗和两段式育苗的优点，使用占有空间小、造价低、可循环利用的塑料盘育苗至</w:t>
            </w:r>
            <w:r w:rsidRPr="00D3155A">
              <w:rPr>
                <w:sz w:val="24"/>
              </w:rPr>
              <w:t>4</w:t>
            </w:r>
            <w:r w:rsidRPr="00D3155A">
              <w:rPr>
                <w:sz w:val="24"/>
              </w:rPr>
              <w:t>叶一心左右，假植至以营养土为基质的纸杯中继续生长，培育成适龄壮苗，然后再移栽到大田。</w:t>
            </w:r>
          </w:p>
          <w:p w:rsidR="00FD1477" w:rsidRPr="00100833" w:rsidRDefault="00FD1477" w:rsidP="000F52A1">
            <w:pPr>
              <w:spacing w:line="360" w:lineRule="auto"/>
              <w:rPr>
                <w:sz w:val="24"/>
              </w:rPr>
            </w:pPr>
            <w:r w:rsidRPr="00D3155A">
              <w:rPr>
                <w:sz w:val="24"/>
              </w:rPr>
              <w:t>这种育苗方式有利于提高烟株抗氧化系统酶活性，增强抗逆性。缺点还是增加了用工用时。</w:t>
            </w:r>
          </w:p>
        </w:tc>
      </w:tr>
      <w:tr w:rsidR="00FD1477" w:rsidRPr="00100833" w:rsidTr="000F52A1">
        <w:trPr>
          <w:trHeight w:val="2182"/>
        </w:trPr>
        <w:tc>
          <w:tcPr>
            <w:tcW w:w="9000" w:type="dxa"/>
            <w:gridSpan w:val="7"/>
            <w:tcBorders>
              <w:top w:val="single" w:sz="4" w:space="0" w:color="auto"/>
              <w:left w:val="single" w:sz="4" w:space="0" w:color="auto"/>
              <w:bottom w:val="single" w:sz="4" w:space="0" w:color="auto"/>
              <w:right w:val="single" w:sz="4" w:space="0" w:color="auto"/>
            </w:tcBorders>
          </w:tcPr>
          <w:p w:rsidR="00FD1477" w:rsidRPr="00152CAA" w:rsidRDefault="00FD1477" w:rsidP="000F52A1">
            <w:pPr>
              <w:snapToGrid w:val="0"/>
              <w:spacing w:line="360" w:lineRule="auto"/>
              <w:ind w:firstLine="482"/>
              <w:rPr>
                <w:rFonts w:hint="eastAsia"/>
                <w:b/>
                <w:sz w:val="24"/>
              </w:rPr>
            </w:pPr>
            <w:r w:rsidRPr="00152CAA">
              <w:rPr>
                <w:b/>
                <w:sz w:val="24"/>
              </w:rPr>
              <w:lastRenderedPageBreak/>
              <w:t>本项目学生有关的研究积累和已取得的成绩</w:t>
            </w:r>
          </w:p>
          <w:p w:rsidR="00FD1477" w:rsidRPr="00911769" w:rsidRDefault="00FD1477" w:rsidP="000F52A1">
            <w:pPr>
              <w:spacing w:line="360" w:lineRule="auto"/>
              <w:ind w:firstLineChars="196" w:firstLine="472"/>
              <w:rPr>
                <w:rFonts w:ascii="宋体" w:hAnsi="宋体" w:cs="宋体" w:hint="eastAsia"/>
                <w:b/>
                <w:sz w:val="24"/>
              </w:rPr>
            </w:pPr>
            <w:r>
              <w:rPr>
                <w:rFonts w:ascii="宋体" w:hAnsi="宋体" w:cs="宋体" w:hint="eastAsia"/>
                <w:b/>
                <w:sz w:val="24"/>
              </w:rPr>
              <w:t>1、</w:t>
            </w:r>
            <w:r w:rsidRPr="00911769">
              <w:rPr>
                <w:rFonts w:ascii="宋体" w:hAnsi="宋体" w:cs="宋体" w:hint="eastAsia"/>
                <w:b/>
                <w:sz w:val="24"/>
              </w:rPr>
              <w:t>研究积累：</w:t>
            </w:r>
          </w:p>
          <w:p w:rsidR="00FD1477" w:rsidRPr="00905996" w:rsidRDefault="00FD1477" w:rsidP="000F52A1">
            <w:pPr>
              <w:spacing w:line="360" w:lineRule="auto"/>
              <w:ind w:firstLineChars="200" w:firstLine="480"/>
              <w:rPr>
                <w:rFonts w:ascii="宋体" w:hAnsi="宋体"/>
                <w:bCs/>
                <w:sz w:val="24"/>
              </w:rPr>
            </w:pPr>
            <w:r>
              <w:rPr>
                <w:rFonts w:ascii="宋体" w:hAnsi="宋体" w:cs="宋体" w:hint="eastAsia"/>
                <w:sz w:val="24"/>
              </w:rPr>
              <w:t>（1）、</w:t>
            </w:r>
            <w:r>
              <w:rPr>
                <w:rFonts w:ascii="宋体" w:hAnsi="宋体" w:hint="eastAsia"/>
                <w:bCs/>
                <w:sz w:val="24"/>
              </w:rPr>
              <w:t>项目组成员对研究内容有浓厚的兴趣，经过前期的资料查阅，对烟草的知识有了更深一步的了解，参与人员中有两位是烟草专业的学生，系统学过《</w:t>
            </w:r>
            <w:r w:rsidRPr="00905996">
              <w:rPr>
                <w:rFonts w:ascii="宋体" w:hAnsi="宋体" w:hint="eastAsia"/>
                <w:bCs/>
                <w:sz w:val="24"/>
              </w:rPr>
              <w:t>烟草栽培学</w:t>
            </w:r>
            <w:r>
              <w:rPr>
                <w:rFonts w:ascii="宋体" w:hAnsi="宋体" w:hint="eastAsia"/>
                <w:bCs/>
                <w:sz w:val="24"/>
              </w:rPr>
              <w:t>》 、《</w:t>
            </w:r>
            <w:r w:rsidRPr="00905996">
              <w:rPr>
                <w:rFonts w:ascii="宋体" w:hAnsi="宋体" w:hint="eastAsia"/>
                <w:bCs/>
                <w:sz w:val="24"/>
              </w:rPr>
              <w:t>植物生理学</w:t>
            </w:r>
            <w:r>
              <w:rPr>
                <w:rFonts w:ascii="宋体" w:hAnsi="宋体" w:hint="eastAsia"/>
                <w:bCs/>
                <w:sz w:val="24"/>
              </w:rPr>
              <w:t xml:space="preserve">》 </w:t>
            </w:r>
            <w:r w:rsidRPr="00905996">
              <w:rPr>
                <w:rFonts w:ascii="宋体" w:hAnsi="宋体" w:hint="eastAsia"/>
                <w:bCs/>
                <w:sz w:val="24"/>
              </w:rPr>
              <w:t>、</w:t>
            </w:r>
            <w:r>
              <w:rPr>
                <w:rFonts w:ascii="宋体" w:hAnsi="宋体" w:hint="eastAsia"/>
                <w:bCs/>
                <w:sz w:val="24"/>
              </w:rPr>
              <w:t>《</w:t>
            </w:r>
            <w:r w:rsidRPr="00905996">
              <w:rPr>
                <w:rFonts w:ascii="宋体" w:hAnsi="宋体" w:hint="eastAsia"/>
                <w:bCs/>
                <w:sz w:val="24"/>
              </w:rPr>
              <w:t>田间试验方法与理论</w:t>
            </w:r>
            <w:r>
              <w:rPr>
                <w:rFonts w:ascii="宋体" w:hAnsi="宋体" w:hint="eastAsia"/>
                <w:bCs/>
                <w:sz w:val="24"/>
              </w:rPr>
              <w:t>》</w:t>
            </w:r>
            <w:r w:rsidRPr="00905996">
              <w:rPr>
                <w:rFonts w:ascii="宋体" w:hAnsi="宋体" w:hint="eastAsia"/>
                <w:bCs/>
                <w:sz w:val="24"/>
              </w:rPr>
              <w:t>及</w:t>
            </w:r>
            <w:r>
              <w:rPr>
                <w:rFonts w:ascii="宋体" w:hAnsi="宋体" w:hint="eastAsia"/>
                <w:bCs/>
                <w:sz w:val="24"/>
              </w:rPr>
              <w:t>《</w:t>
            </w:r>
            <w:r w:rsidRPr="00905996">
              <w:rPr>
                <w:rFonts w:ascii="宋体" w:hAnsi="宋体" w:hint="eastAsia"/>
                <w:bCs/>
                <w:sz w:val="24"/>
              </w:rPr>
              <w:t>烟草化学</w:t>
            </w:r>
            <w:r>
              <w:rPr>
                <w:rFonts w:ascii="宋体" w:hAnsi="宋体" w:hint="eastAsia"/>
                <w:bCs/>
                <w:sz w:val="24"/>
              </w:rPr>
              <w:t>》</w:t>
            </w:r>
            <w:r w:rsidRPr="00905996">
              <w:rPr>
                <w:rFonts w:ascii="宋体" w:hAnsi="宋体" w:hint="eastAsia"/>
                <w:bCs/>
                <w:sz w:val="24"/>
              </w:rPr>
              <w:t>等一些专业课程，</w:t>
            </w:r>
            <w:r>
              <w:rPr>
                <w:rFonts w:ascii="宋体" w:hAnsi="宋体" w:hint="eastAsia"/>
                <w:bCs/>
                <w:sz w:val="24"/>
              </w:rPr>
              <w:t>具备专业基础</w:t>
            </w:r>
            <w:r w:rsidRPr="00905996">
              <w:rPr>
                <w:rFonts w:ascii="宋体" w:hAnsi="宋体" w:hint="eastAsia"/>
                <w:bCs/>
                <w:sz w:val="24"/>
              </w:rPr>
              <w:t>，</w:t>
            </w:r>
            <w:r>
              <w:rPr>
                <w:rFonts w:ascii="宋体" w:hAnsi="宋体" w:hint="eastAsia"/>
                <w:bCs/>
                <w:sz w:val="24"/>
              </w:rPr>
              <w:t>确保本项目能顺利完成。</w:t>
            </w:r>
          </w:p>
          <w:p w:rsidR="00FD1477" w:rsidRPr="00905996" w:rsidRDefault="00FD1477" w:rsidP="000F52A1">
            <w:pPr>
              <w:spacing w:line="360" w:lineRule="auto"/>
              <w:ind w:firstLineChars="200" w:firstLine="480"/>
              <w:rPr>
                <w:rFonts w:ascii="宋体" w:hAnsi="宋体"/>
                <w:bCs/>
                <w:sz w:val="24"/>
              </w:rPr>
            </w:pPr>
            <w:r>
              <w:rPr>
                <w:rFonts w:ascii="宋体" w:hAnsi="宋体" w:cs="宋体" w:hint="eastAsia"/>
                <w:sz w:val="24"/>
              </w:rPr>
              <w:t>（2）、</w:t>
            </w:r>
            <w:r>
              <w:rPr>
                <w:rFonts w:ascii="宋体" w:hAnsi="宋体" w:hint="eastAsia"/>
                <w:bCs/>
                <w:sz w:val="24"/>
              </w:rPr>
              <w:t>项目的指导老师是烟草工程与技术专业的在读博士，从事烟草研究多年，承担了几个烟草课题，研究经验丰富，为本项目提供了坚强的指导</w:t>
            </w:r>
            <w:r w:rsidRPr="00905996">
              <w:rPr>
                <w:rFonts w:ascii="宋体" w:hAnsi="宋体" w:hint="eastAsia"/>
                <w:bCs/>
                <w:sz w:val="24"/>
              </w:rPr>
              <w:t>。</w:t>
            </w:r>
          </w:p>
          <w:p w:rsidR="00FD1477" w:rsidRPr="00905996" w:rsidRDefault="00FD1477" w:rsidP="000F52A1">
            <w:pPr>
              <w:spacing w:line="360" w:lineRule="auto"/>
              <w:ind w:firstLineChars="200" w:firstLine="480"/>
              <w:rPr>
                <w:rFonts w:ascii="宋体" w:hAnsi="宋体"/>
                <w:bCs/>
                <w:sz w:val="24"/>
              </w:rPr>
            </w:pPr>
            <w:r>
              <w:rPr>
                <w:rFonts w:ascii="宋体" w:hAnsi="宋体" w:cs="宋体" w:hint="eastAsia"/>
                <w:sz w:val="24"/>
              </w:rPr>
              <w:t>（3）、</w:t>
            </w:r>
            <w:r>
              <w:rPr>
                <w:rFonts w:ascii="宋体" w:hAnsi="宋体" w:hint="eastAsia"/>
                <w:bCs/>
                <w:sz w:val="24"/>
              </w:rPr>
              <w:t>项目组拥有可利用且完整的室内培养室和室外移栽大田区</w:t>
            </w:r>
            <w:r w:rsidRPr="00905996">
              <w:rPr>
                <w:rFonts w:ascii="宋体" w:hAnsi="宋体" w:hint="eastAsia"/>
                <w:bCs/>
                <w:sz w:val="24"/>
              </w:rPr>
              <w:t>，可以保证试验的正常进行。</w:t>
            </w:r>
          </w:p>
          <w:p w:rsidR="00FD1477" w:rsidRDefault="00FD1477" w:rsidP="000F52A1">
            <w:pPr>
              <w:spacing w:line="360" w:lineRule="auto"/>
              <w:ind w:firstLineChars="200" w:firstLine="480"/>
              <w:rPr>
                <w:rFonts w:ascii="宋体" w:hAnsi="宋体" w:hint="eastAsia"/>
                <w:bCs/>
                <w:sz w:val="24"/>
              </w:rPr>
            </w:pPr>
            <w:r>
              <w:rPr>
                <w:rFonts w:ascii="宋体" w:hAnsi="宋体" w:cs="宋体" w:hint="eastAsia"/>
                <w:sz w:val="24"/>
              </w:rPr>
              <w:t>（4）、</w:t>
            </w:r>
            <w:r>
              <w:rPr>
                <w:rFonts w:ascii="宋体" w:hAnsi="宋体" w:hint="eastAsia"/>
                <w:bCs/>
                <w:sz w:val="24"/>
              </w:rPr>
              <w:t>项目研究中所涉及的试验检测方法成熟，</w:t>
            </w:r>
            <w:r w:rsidRPr="00905996">
              <w:rPr>
                <w:rFonts w:ascii="宋体" w:hAnsi="宋体" w:hint="eastAsia"/>
                <w:bCs/>
                <w:sz w:val="24"/>
              </w:rPr>
              <w:t>数据测试</w:t>
            </w:r>
            <w:r>
              <w:rPr>
                <w:rFonts w:ascii="宋体" w:hAnsi="宋体" w:hint="eastAsia"/>
                <w:bCs/>
                <w:sz w:val="24"/>
              </w:rPr>
              <w:t>平台完备。</w:t>
            </w:r>
          </w:p>
          <w:p w:rsidR="00FD1477" w:rsidRDefault="00FD1477" w:rsidP="000F52A1">
            <w:pPr>
              <w:spacing w:line="360" w:lineRule="auto"/>
              <w:ind w:firstLineChars="196" w:firstLine="472"/>
              <w:rPr>
                <w:rFonts w:ascii="宋体" w:hAnsi="宋体" w:hint="eastAsia"/>
                <w:b/>
                <w:bCs/>
                <w:sz w:val="24"/>
              </w:rPr>
            </w:pPr>
            <w:r>
              <w:rPr>
                <w:rFonts w:ascii="宋体" w:hAnsi="宋体" w:hint="eastAsia"/>
                <w:b/>
                <w:bCs/>
                <w:sz w:val="24"/>
              </w:rPr>
              <w:t>2、</w:t>
            </w:r>
            <w:r w:rsidRPr="00911769">
              <w:rPr>
                <w:rFonts w:ascii="宋体" w:hAnsi="宋体" w:hint="eastAsia"/>
                <w:b/>
                <w:bCs/>
                <w:sz w:val="24"/>
              </w:rPr>
              <w:t>已取得的成绩</w:t>
            </w:r>
            <w:r>
              <w:rPr>
                <w:rFonts w:ascii="宋体" w:hAnsi="宋体" w:hint="eastAsia"/>
                <w:b/>
                <w:bCs/>
                <w:sz w:val="24"/>
              </w:rPr>
              <w:t>：</w:t>
            </w:r>
          </w:p>
          <w:p w:rsidR="00FD1477" w:rsidRDefault="00FD1477" w:rsidP="000F52A1">
            <w:pPr>
              <w:spacing w:line="360" w:lineRule="auto"/>
              <w:rPr>
                <w:rFonts w:hint="eastAsia"/>
                <w:sz w:val="24"/>
              </w:rPr>
            </w:pPr>
            <w:r>
              <w:rPr>
                <w:rFonts w:ascii="宋体" w:hAnsi="宋体" w:hint="eastAsia"/>
                <w:b/>
                <w:bCs/>
                <w:sz w:val="24"/>
              </w:rPr>
              <w:t xml:space="preserve">   </w:t>
            </w:r>
            <w:r w:rsidRPr="00911769">
              <w:rPr>
                <w:rFonts w:ascii="宋体" w:hAnsi="宋体" w:hint="eastAsia"/>
                <w:bCs/>
                <w:sz w:val="24"/>
              </w:rPr>
              <w:t xml:space="preserve"> </w:t>
            </w:r>
            <w:r>
              <w:rPr>
                <w:rFonts w:ascii="宋体" w:hAnsi="宋体" w:hint="eastAsia"/>
                <w:bCs/>
                <w:sz w:val="24"/>
              </w:rPr>
              <w:t>（1）</w:t>
            </w:r>
            <w:r w:rsidRPr="00911769">
              <w:rPr>
                <w:rFonts w:ascii="宋体" w:hAnsi="宋体" w:hint="eastAsia"/>
                <w:bCs/>
                <w:sz w:val="24"/>
              </w:rPr>
              <w:t>、</w:t>
            </w:r>
            <w:r w:rsidRPr="00911769">
              <w:rPr>
                <w:sz w:val="24"/>
              </w:rPr>
              <w:t>为了探索湖南烟稻轮作</w:t>
            </w:r>
            <w:r w:rsidRPr="00911769">
              <w:rPr>
                <w:rFonts w:hint="eastAsia"/>
                <w:sz w:val="24"/>
              </w:rPr>
              <w:t>地</w:t>
            </w:r>
            <w:r w:rsidRPr="00911769">
              <w:rPr>
                <w:sz w:val="24"/>
              </w:rPr>
              <w:t>烤烟的最优育苗方式，研究了不同育苗方式对烤烟大田期抗氧化系统酶活性的影响。</w:t>
            </w:r>
          </w:p>
          <w:p w:rsidR="00FD1477" w:rsidRDefault="00FD1477" w:rsidP="000F52A1">
            <w:pPr>
              <w:spacing w:line="360" w:lineRule="auto"/>
              <w:rPr>
                <w:rFonts w:hint="eastAsia"/>
                <w:sz w:val="24"/>
              </w:rPr>
            </w:pPr>
            <w:r>
              <w:rPr>
                <w:noProof/>
              </w:rPr>
              <w:drawing>
                <wp:inline distT="0" distB="0" distL="0" distR="0">
                  <wp:extent cx="5431418" cy="2796772"/>
                  <wp:effectExtent l="3939" t="6034" r="12943" b="16594"/>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D1477" w:rsidRDefault="00FD1477" w:rsidP="000F52A1">
            <w:pPr>
              <w:spacing w:line="360" w:lineRule="auto"/>
              <w:jc w:val="center"/>
              <w:rPr>
                <w:rFonts w:hint="eastAsia"/>
                <w:b/>
                <w:sz w:val="24"/>
              </w:rPr>
            </w:pPr>
            <w:r>
              <w:rPr>
                <w:rFonts w:ascii="宋体" w:hAnsi="宋体" w:hint="eastAsia"/>
                <w:bCs/>
                <w:sz w:val="24"/>
              </w:rPr>
              <w:t xml:space="preserve">    </w:t>
            </w:r>
            <w:r>
              <w:rPr>
                <w:rFonts w:hint="eastAsia"/>
                <w:szCs w:val="21"/>
              </w:rPr>
              <w:t>图</w:t>
            </w:r>
            <w:r>
              <w:rPr>
                <w:rFonts w:hint="eastAsia"/>
                <w:szCs w:val="21"/>
              </w:rPr>
              <w:t xml:space="preserve">1 </w:t>
            </w:r>
            <w:r>
              <w:rPr>
                <w:rFonts w:hint="eastAsia"/>
                <w:szCs w:val="21"/>
              </w:rPr>
              <w:t>不同育苗方式对烤烟大田期</w:t>
            </w:r>
            <w:r>
              <w:rPr>
                <w:rFonts w:hint="eastAsia"/>
                <w:szCs w:val="21"/>
              </w:rPr>
              <w:t>SOD</w:t>
            </w:r>
            <w:r>
              <w:rPr>
                <w:rFonts w:hint="eastAsia"/>
                <w:szCs w:val="21"/>
              </w:rPr>
              <w:t>活性的影响</w:t>
            </w:r>
          </w:p>
          <w:p w:rsidR="00FD1477" w:rsidRDefault="00FD1477" w:rsidP="000F52A1">
            <w:pPr>
              <w:spacing w:line="360" w:lineRule="auto"/>
              <w:rPr>
                <w:rFonts w:ascii="宋体" w:hAnsi="宋体" w:hint="eastAsia"/>
                <w:bCs/>
                <w:sz w:val="24"/>
              </w:rPr>
            </w:pPr>
            <w:r>
              <w:rPr>
                <w:noProof/>
              </w:rPr>
              <w:lastRenderedPageBreak/>
              <w:drawing>
                <wp:inline distT="0" distB="0" distL="0" distR="0">
                  <wp:extent cx="5353679" cy="2541662"/>
                  <wp:effectExtent l="4298" t="4798" r="14123" b="15765"/>
                  <wp:docPr id="2"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D1477" w:rsidRDefault="00FD1477" w:rsidP="000F52A1">
            <w:pPr>
              <w:adjustRightInd w:val="0"/>
              <w:snapToGrid w:val="0"/>
              <w:spacing w:line="360" w:lineRule="auto"/>
              <w:jc w:val="center"/>
              <w:outlineLvl w:val="0"/>
              <w:rPr>
                <w:rFonts w:hint="eastAsia"/>
              </w:rPr>
            </w:pPr>
            <w:r>
              <w:rPr>
                <w:rFonts w:hint="eastAsia"/>
                <w:szCs w:val="21"/>
              </w:rPr>
              <w:t>图</w:t>
            </w:r>
            <w:r>
              <w:rPr>
                <w:rFonts w:hint="eastAsia"/>
                <w:szCs w:val="21"/>
              </w:rPr>
              <w:t xml:space="preserve">2 </w:t>
            </w:r>
            <w:r>
              <w:rPr>
                <w:rFonts w:hint="eastAsia"/>
                <w:szCs w:val="21"/>
              </w:rPr>
              <w:t>不同育苗方式对烤烟大田期</w:t>
            </w:r>
            <w:r>
              <w:rPr>
                <w:rFonts w:hint="eastAsia"/>
                <w:szCs w:val="21"/>
              </w:rPr>
              <w:t>POD</w:t>
            </w:r>
            <w:r>
              <w:rPr>
                <w:rFonts w:hint="eastAsia"/>
                <w:szCs w:val="21"/>
              </w:rPr>
              <w:t>活性的影响</w:t>
            </w:r>
          </w:p>
          <w:p w:rsidR="00FD1477" w:rsidRDefault="00FD1477" w:rsidP="000F52A1">
            <w:pPr>
              <w:spacing w:line="360" w:lineRule="auto"/>
              <w:ind w:firstLineChars="200" w:firstLine="420"/>
              <w:rPr>
                <w:rFonts w:ascii="宋体" w:hAnsi="宋体" w:hint="eastAsia"/>
                <w:bCs/>
                <w:sz w:val="24"/>
              </w:rPr>
            </w:pPr>
            <w:r>
              <w:rPr>
                <w:noProof/>
              </w:rPr>
              <w:drawing>
                <wp:inline distT="0" distB="0" distL="0" distR="0">
                  <wp:extent cx="5429618" cy="2588905"/>
                  <wp:effectExtent l="4359" t="4887" r="14323" b="16058"/>
                  <wp:docPr id="3" name="图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D1477" w:rsidRDefault="00FD1477" w:rsidP="000F52A1">
            <w:pPr>
              <w:spacing w:line="360" w:lineRule="auto"/>
              <w:ind w:firstLineChars="250" w:firstLine="525"/>
              <w:jc w:val="center"/>
              <w:rPr>
                <w:rFonts w:hint="eastAsia"/>
                <w:b/>
                <w:sz w:val="24"/>
              </w:rPr>
            </w:pPr>
            <w:r>
              <w:rPr>
                <w:rFonts w:hint="eastAsia"/>
                <w:szCs w:val="21"/>
              </w:rPr>
              <w:t>图</w:t>
            </w:r>
            <w:r>
              <w:rPr>
                <w:rFonts w:hint="eastAsia"/>
                <w:szCs w:val="21"/>
              </w:rPr>
              <w:t xml:space="preserve">3 </w:t>
            </w:r>
            <w:r>
              <w:rPr>
                <w:rFonts w:hint="eastAsia"/>
                <w:szCs w:val="21"/>
              </w:rPr>
              <w:t>不同育苗方式对烤烟大田期</w:t>
            </w:r>
            <w:r>
              <w:rPr>
                <w:rFonts w:hint="eastAsia"/>
                <w:szCs w:val="21"/>
              </w:rPr>
              <w:t>CAT</w:t>
            </w:r>
            <w:r>
              <w:rPr>
                <w:rFonts w:hint="eastAsia"/>
                <w:szCs w:val="21"/>
              </w:rPr>
              <w:t>活性的影响</w:t>
            </w:r>
          </w:p>
          <w:p w:rsidR="00FD1477" w:rsidRDefault="00FD1477" w:rsidP="000F52A1">
            <w:pPr>
              <w:spacing w:line="360" w:lineRule="auto"/>
              <w:ind w:firstLineChars="200" w:firstLine="420"/>
              <w:rPr>
                <w:rFonts w:ascii="宋体" w:hAnsi="宋体" w:hint="eastAsia"/>
                <w:bCs/>
                <w:sz w:val="24"/>
              </w:rPr>
            </w:pPr>
            <w:r>
              <w:rPr>
                <w:noProof/>
              </w:rPr>
              <w:drawing>
                <wp:inline distT="0" distB="0" distL="0" distR="0">
                  <wp:extent cx="5372664" cy="2418830"/>
                  <wp:effectExtent l="4313" t="4566" r="14173" b="15004"/>
                  <wp:docPr id="4" name="图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1477" w:rsidRPr="00B81E5F" w:rsidRDefault="00FD1477" w:rsidP="000F52A1">
            <w:pPr>
              <w:spacing w:line="360" w:lineRule="auto"/>
              <w:ind w:firstLineChars="250" w:firstLine="525"/>
              <w:jc w:val="center"/>
              <w:rPr>
                <w:rFonts w:hint="eastAsia"/>
                <w:b/>
                <w:sz w:val="24"/>
              </w:rPr>
            </w:pPr>
            <w:r>
              <w:rPr>
                <w:rFonts w:hint="eastAsia"/>
                <w:szCs w:val="21"/>
              </w:rPr>
              <w:t>图</w:t>
            </w:r>
            <w:r>
              <w:rPr>
                <w:rFonts w:hint="eastAsia"/>
                <w:szCs w:val="21"/>
              </w:rPr>
              <w:t xml:space="preserve">4 </w:t>
            </w:r>
            <w:r>
              <w:rPr>
                <w:rFonts w:hint="eastAsia"/>
                <w:szCs w:val="21"/>
              </w:rPr>
              <w:t>不同育苗方式对烤烟大田期</w:t>
            </w:r>
            <w:r>
              <w:rPr>
                <w:rFonts w:hint="eastAsia"/>
                <w:szCs w:val="21"/>
              </w:rPr>
              <w:t>GR</w:t>
            </w:r>
            <w:r>
              <w:rPr>
                <w:rFonts w:hint="eastAsia"/>
                <w:szCs w:val="21"/>
              </w:rPr>
              <w:t>活性的影响</w:t>
            </w:r>
          </w:p>
          <w:p w:rsidR="00FD1477" w:rsidRDefault="00FD1477" w:rsidP="000F52A1">
            <w:pPr>
              <w:spacing w:line="360" w:lineRule="auto"/>
              <w:ind w:firstLineChars="200" w:firstLine="480"/>
              <w:rPr>
                <w:rFonts w:ascii="宋体" w:hAnsi="宋体" w:cs="宋体" w:hint="eastAsia"/>
                <w:sz w:val="24"/>
              </w:rPr>
            </w:pPr>
            <w:r>
              <w:rPr>
                <w:rFonts w:ascii="宋体" w:hAnsi="宋体" w:hint="eastAsia"/>
                <w:bCs/>
                <w:sz w:val="24"/>
              </w:rPr>
              <w:t>（2）、</w:t>
            </w:r>
            <w:r w:rsidRPr="00B81E5F">
              <w:rPr>
                <w:rFonts w:ascii="宋体" w:hAnsi="宋体" w:cs="宋体" w:hint="eastAsia"/>
                <w:sz w:val="24"/>
              </w:rPr>
              <w:t>实用新型专利：一种烟草种植土壤取样装置</w:t>
            </w:r>
          </w:p>
          <w:p w:rsidR="00FD1477" w:rsidRPr="00911769" w:rsidRDefault="00FD1477" w:rsidP="000F52A1">
            <w:pPr>
              <w:spacing w:line="360" w:lineRule="auto"/>
              <w:ind w:firstLineChars="200" w:firstLine="420"/>
              <w:rPr>
                <w:rFonts w:ascii="宋体" w:hAnsi="宋体"/>
                <w:bCs/>
                <w:sz w:val="24"/>
              </w:rPr>
            </w:pPr>
            <w:r>
              <w:rPr>
                <w:noProof/>
              </w:rPr>
              <w:lastRenderedPageBreak/>
              <w:drawing>
                <wp:inline distT="0" distB="0" distL="0" distR="0">
                  <wp:extent cx="5867400" cy="4914900"/>
                  <wp:effectExtent l="0" t="476250" r="0" b="457200"/>
                  <wp:docPr id="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9"/>
                          <a:srcRect/>
                          <a:stretch>
                            <a:fillRect/>
                          </a:stretch>
                        </pic:blipFill>
                        <pic:spPr bwMode="auto">
                          <a:xfrm rot="5400000">
                            <a:off x="0" y="0"/>
                            <a:ext cx="5867400" cy="4914900"/>
                          </a:xfrm>
                          <a:prstGeom prst="rect">
                            <a:avLst/>
                          </a:prstGeom>
                          <a:noFill/>
                          <a:ln w="9525">
                            <a:noFill/>
                            <a:miter lim="800000"/>
                            <a:headEnd/>
                            <a:tailEnd/>
                          </a:ln>
                        </pic:spPr>
                      </pic:pic>
                    </a:graphicData>
                  </a:graphic>
                </wp:inline>
              </w:drawing>
            </w:r>
          </w:p>
        </w:tc>
      </w:tr>
      <w:tr w:rsidR="00FD1477" w:rsidRPr="00100833" w:rsidTr="000F52A1">
        <w:trPr>
          <w:trHeight w:val="2182"/>
        </w:trPr>
        <w:tc>
          <w:tcPr>
            <w:tcW w:w="9000" w:type="dxa"/>
            <w:gridSpan w:val="7"/>
          </w:tcPr>
          <w:p w:rsidR="00FD1477" w:rsidRPr="00152CAA" w:rsidRDefault="00FD1477" w:rsidP="000F52A1">
            <w:pPr>
              <w:snapToGrid w:val="0"/>
              <w:spacing w:afterLines="50"/>
              <w:ind w:right="57"/>
              <w:rPr>
                <w:b/>
                <w:sz w:val="24"/>
              </w:rPr>
            </w:pPr>
            <w:r w:rsidRPr="00152CAA">
              <w:rPr>
                <w:b/>
                <w:sz w:val="24"/>
              </w:rPr>
              <w:lastRenderedPageBreak/>
              <w:t>项目的创新点和特色</w:t>
            </w:r>
          </w:p>
          <w:p w:rsidR="00FD1477" w:rsidRPr="004D279D" w:rsidRDefault="00FD1477" w:rsidP="000F52A1">
            <w:pPr>
              <w:spacing w:line="360" w:lineRule="auto"/>
              <w:ind w:firstLineChars="200" w:firstLine="480"/>
              <w:rPr>
                <w:rFonts w:ascii="宋体" w:hAnsi="宋体" w:hint="eastAsia"/>
                <w:sz w:val="24"/>
              </w:rPr>
            </w:pPr>
            <w:r w:rsidRPr="004D279D">
              <w:rPr>
                <w:rFonts w:ascii="宋体" w:hAnsi="宋体" w:hint="eastAsia"/>
                <w:sz w:val="24"/>
              </w:rPr>
              <w:t>系统研究</w:t>
            </w:r>
            <w:r w:rsidRPr="004D279D">
              <w:rPr>
                <w:rFonts w:ascii="宋体" w:hAnsi="宋体"/>
                <w:sz w:val="24"/>
              </w:rPr>
              <w:t>普通漂浮育苗、两段式育苗、浅水育苗和浅水两段式育苗方式对烟</w:t>
            </w:r>
            <w:r w:rsidRPr="004D279D">
              <w:rPr>
                <w:rFonts w:ascii="宋体" w:hAnsi="宋体" w:hint="eastAsia"/>
                <w:sz w:val="24"/>
              </w:rPr>
              <w:t>叶</w:t>
            </w:r>
            <w:r w:rsidRPr="004D279D">
              <w:rPr>
                <w:rFonts w:ascii="宋体" w:hAnsi="宋体"/>
                <w:sz w:val="24"/>
              </w:rPr>
              <w:t>抗氧化系统酶活性</w:t>
            </w:r>
            <w:r w:rsidRPr="004D279D">
              <w:rPr>
                <w:rFonts w:ascii="宋体" w:hAnsi="宋体" w:hint="eastAsia"/>
                <w:sz w:val="24"/>
              </w:rPr>
              <w:t>的影响，</w:t>
            </w:r>
            <w:r w:rsidRPr="004D279D">
              <w:rPr>
                <w:rFonts w:ascii="宋体" w:hAnsi="宋体"/>
                <w:sz w:val="24"/>
              </w:rPr>
              <w:t>为</w:t>
            </w:r>
            <w:r w:rsidRPr="004D279D">
              <w:rPr>
                <w:rFonts w:ascii="宋体" w:hAnsi="宋体" w:hint="eastAsia"/>
                <w:sz w:val="24"/>
              </w:rPr>
              <w:t>进一步揭示两段式育苗方式提高</w:t>
            </w:r>
            <w:r w:rsidRPr="004D279D">
              <w:rPr>
                <w:rFonts w:ascii="宋体" w:hAnsi="宋体"/>
                <w:sz w:val="24"/>
              </w:rPr>
              <w:t>烟</w:t>
            </w:r>
            <w:r w:rsidRPr="004D279D">
              <w:rPr>
                <w:rFonts w:ascii="宋体" w:hAnsi="宋体" w:hint="eastAsia"/>
                <w:sz w:val="24"/>
              </w:rPr>
              <w:t>叶</w:t>
            </w:r>
            <w:r w:rsidRPr="004D279D">
              <w:rPr>
                <w:rFonts w:ascii="宋体" w:hAnsi="宋体"/>
                <w:sz w:val="24"/>
              </w:rPr>
              <w:t>抗氧化系统酶活性</w:t>
            </w:r>
            <w:r w:rsidRPr="004D279D">
              <w:rPr>
                <w:rFonts w:ascii="宋体" w:hAnsi="宋体" w:hint="eastAsia"/>
                <w:sz w:val="24"/>
              </w:rPr>
              <w:t>的机理奠定了试验基础。</w:t>
            </w:r>
          </w:p>
          <w:p w:rsidR="00FD1477" w:rsidRPr="00B81E5F" w:rsidRDefault="00FD1477" w:rsidP="000F52A1">
            <w:pPr>
              <w:spacing w:line="360" w:lineRule="auto"/>
              <w:ind w:firstLineChars="200" w:firstLine="480"/>
              <w:rPr>
                <w:rFonts w:ascii="宋体" w:hAnsi="宋体"/>
                <w:sz w:val="24"/>
              </w:rPr>
            </w:pPr>
            <w:r w:rsidRPr="004D279D">
              <w:rPr>
                <w:rFonts w:ascii="宋体" w:hAnsi="宋体" w:hint="eastAsia"/>
                <w:sz w:val="24"/>
              </w:rPr>
              <w:t>系统研究</w:t>
            </w:r>
            <w:r w:rsidRPr="004D279D">
              <w:rPr>
                <w:rFonts w:ascii="宋体" w:hAnsi="宋体"/>
                <w:sz w:val="24"/>
              </w:rPr>
              <w:t>普通漂浮育苗、两段式育苗、浅水育苗和浅水两段式育苗方式对</w:t>
            </w:r>
            <w:r>
              <w:rPr>
                <w:rFonts w:ascii="宋体" w:hAnsi="宋体" w:hint="eastAsia"/>
                <w:sz w:val="24"/>
              </w:rPr>
              <w:t>烟株生理生化指标和烤后化学成分的</w:t>
            </w:r>
            <w:r w:rsidRPr="004D279D">
              <w:rPr>
                <w:rFonts w:ascii="宋体" w:hAnsi="宋体" w:hint="eastAsia"/>
                <w:sz w:val="24"/>
              </w:rPr>
              <w:t>影响，</w:t>
            </w:r>
            <w:r w:rsidRPr="004D279D">
              <w:rPr>
                <w:rFonts w:ascii="宋体" w:hAnsi="宋体"/>
                <w:sz w:val="24"/>
              </w:rPr>
              <w:t>为</w:t>
            </w:r>
            <w:r w:rsidRPr="004D279D">
              <w:rPr>
                <w:rFonts w:ascii="宋体" w:hAnsi="宋体" w:hint="eastAsia"/>
                <w:sz w:val="24"/>
              </w:rPr>
              <w:t>提高</w:t>
            </w:r>
            <w:r w:rsidRPr="004D279D">
              <w:rPr>
                <w:rFonts w:ascii="宋体" w:hAnsi="宋体"/>
                <w:sz w:val="24"/>
              </w:rPr>
              <w:t>烟</w:t>
            </w:r>
            <w:r w:rsidRPr="004D279D">
              <w:rPr>
                <w:rFonts w:ascii="宋体" w:hAnsi="宋体" w:hint="eastAsia"/>
                <w:sz w:val="24"/>
              </w:rPr>
              <w:t>叶</w:t>
            </w:r>
            <w:r>
              <w:rPr>
                <w:rFonts w:ascii="宋体" w:hAnsi="宋体" w:hint="eastAsia"/>
                <w:sz w:val="24"/>
              </w:rPr>
              <w:t>品质提供理论依据</w:t>
            </w:r>
            <w:r w:rsidRPr="004D279D">
              <w:rPr>
                <w:rFonts w:ascii="宋体" w:hAnsi="宋体" w:hint="eastAsia"/>
                <w:sz w:val="24"/>
              </w:rPr>
              <w:t>。</w:t>
            </w:r>
          </w:p>
        </w:tc>
      </w:tr>
      <w:tr w:rsidR="00FD1477" w:rsidRPr="00100833" w:rsidTr="000F52A1">
        <w:trPr>
          <w:trHeight w:val="2182"/>
        </w:trPr>
        <w:tc>
          <w:tcPr>
            <w:tcW w:w="9000" w:type="dxa"/>
            <w:gridSpan w:val="7"/>
          </w:tcPr>
          <w:p w:rsidR="00FD1477" w:rsidRPr="00152CAA" w:rsidRDefault="00FD1477" w:rsidP="000F52A1">
            <w:pPr>
              <w:snapToGrid w:val="0"/>
              <w:spacing w:afterLines="50"/>
              <w:rPr>
                <w:rFonts w:hint="eastAsia"/>
                <w:b/>
                <w:sz w:val="24"/>
              </w:rPr>
            </w:pPr>
            <w:r w:rsidRPr="00152CAA">
              <w:rPr>
                <w:b/>
                <w:sz w:val="24"/>
              </w:rPr>
              <w:t>项目的技术路线及预期成果</w:t>
            </w:r>
          </w:p>
          <w:p w:rsidR="00FD1477" w:rsidRDefault="00FD1477" w:rsidP="00FD1477">
            <w:pPr>
              <w:numPr>
                <w:ilvl w:val="0"/>
                <w:numId w:val="1"/>
              </w:numPr>
              <w:snapToGrid w:val="0"/>
              <w:spacing w:line="360" w:lineRule="auto"/>
              <w:rPr>
                <w:rFonts w:hint="eastAsia"/>
                <w:b/>
                <w:sz w:val="24"/>
              </w:rPr>
            </w:pPr>
            <w:r w:rsidRPr="00152CAA">
              <w:rPr>
                <w:rFonts w:hint="eastAsia"/>
                <w:b/>
                <w:sz w:val="24"/>
              </w:rPr>
              <w:t>预期成果</w:t>
            </w:r>
            <w:r>
              <w:rPr>
                <w:rFonts w:hint="eastAsia"/>
                <w:b/>
                <w:sz w:val="24"/>
              </w:rPr>
              <w:t xml:space="preserve">  </w:t>
            </w:r>
          </w:p>
          <w:p w:rsidR="00FD1477" w:rsidRDefault="00FD1477" w:rsidP="000F52A1">
            <w:pPr>
              <w:snapToGrid w:val="0"/>
              <w:spacing w:line="360" w:lineRule="auto"/>
              <w:ind w:left="479"/>
              <w:rPr>
                <w:rFonts w:ascii="宋体" w:hAnsi="宋体" w:hint="eastAsia"/>
                <w:sz w:val="24"/>
              </w:rPr>
            </w:pPr>
            <w:r w:rsidRPr="00152CAA">
              <w:rPr>
                <w:rFonts w:ascii="宋体" w:hAnsi="宋体" w:hint="eastAsia"/>
                <w:sz w:val="24"/>
              </w:rPr>
              <w:t>（1）、发表</w:t>
            </w:r>
            <w:r>
              <w:rPr>
                <w:rFonts w:ascii="宋体" w:hAnsi="宋体" w:hint="eastAsia"/>
                <w:sz w:val="24"/>
              </w:rPr>
              <w:t>1</w:t>
            </w:r>
            <w:r w:rsidRPr="00152CAA">
              <w:rPr>
                <w:rFonts w:ascii="宋体" w:hAnsi="宋体" w:hint="eastAsia"/>
                <w:sz w:val="24"/>
              </w:rPr>
              <w:t>篇研究</w:t>
            </w:r>
            <w:r>
              <w:rPr>
                <w:rFonts w:ascii="宋体" w:hAnsi="宋体" w:hint="eastAsia"/>
                <w:sz w:val="24"/>
              </w:rPr>
              <w:t>性</w:t>
            </w:r>
            <w:r w:rsidRPr="00152CAA">
              <w:rPr>
                <w:rFonts w:ascii="宋体" w:hAnsi="宋体" w:hint="eastAsia"/>
                <w:sz w:val="24"/>
              </w:rPr>
              <w:t>论文</w:t>
            </w:r>
          </w:p>
          <w:p w:rsidR="00FD1477" w:rsidRDefault="00FD1477" w:rsidP="000F52A1">
            <w:pPr>
              <w:snapToGrid w:val="0"/>
              <w:spacing w:line="360" w:lineRule="auto"/>
              <w:ind w:left="479"/>
              <w:rPr>
                <w:rFonts w:ascii="宋体" w:hAnsi="宋体" w:hint="eastAsia"/>
                <w:sz w:val="24"/>
              </w:rPr>
            </w:pPr>
            <w:r>
              <w:rPr>
                <w:rFonts w:ascii="宋体" w:hAnsi="宋体" w:hint="eastAsia"/>
                <w:sz w:val="24"/>
              </w:rPr>
              <w:t>（2）、开发1-2个实用新型专利</w:t>
            </w:r>
          </w:p>
          <w:p w:rsidR="00FD1477" w:rsidRDefault="00FD1477" w:rsidP="000F52A1">
            <w:pPr>
              <w:snapToGrid w:val="0"/>
              <w:spacing w:line="360" w:lineRule="auto"/>
              <w:ind w:left="479"/>
              <w:rPr>
                <w:rFonts w:ascii="宋体" w:hAnsi="宋体" w:hint="eastAsia"/>
                <w:b/>
                <w:sz w:val="24"/>
              </w:rPr>
            </w:pPr>
          </w:p>
          <w:p w:rsidR="00FD1477" w:rsidRPr="00152CAA" w:rsidRDefault="00FD1477" w:rsidP="000F52A1">
            <w:pPr>
              <w:snapToGrid w:val="0"/>
              <w:spacing w:line="360" w:lineRule="auto"/>
              <w:ind w:left="479"/>
              <w:rPr>
                <w:rFonts w:ascii="宋体" w:hAnsi="宋体"/>
                <w:b/>
                <w:sz w:val="24"/>
              </w:rPr>
            </w:pPr>
            <w:r w:rsidRPr="00152CAA">
              <w:rPr>
                <w:rFonts w:ascii="宋体" w:hAnsi="宋体" w:hint="eastAsia"/>
                <w:b/>
                <w:sz w:val="24"/>
              </w:rPr>
              <w:lastRenderedPageBreak/>
              <w:t>2、技术路线</w:t>
            </w:r>
          </w:p>
          <w:p w:rsidR="00FD1477" w:rsidRPr="00100833" w:rsidRDefault="00FD1477" w:rsidP="000F52A1">
            <w:pPr>
              <w:snapToGrid w:val="0"/>
              <w:ind w:left="180"/>
              <w:rPr>
                <w:sz w:val="24"/>
              </w:rPr>
            </w:pPr>
            <w:r>
              <w:rPr>
                <w:noProof/>
              </w:rPr>
              <w:drawing>
                <wp:inline distT="0" distB="0" distL="0" distR="0">
                  <wp:extent cx="5057775" cy="6972300"/>
                  <wp:effectExtent l="19050" t="0" r="9525"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0"/>
                          <a:srcRect/>
                          <a:stretch>
                            <a:fillRect/>
                          </a:stretch>
                        </pic:blipFill>
                        <pic:spPr bwMode="auto">
                          <a:xfrm>
                            <a:off x="0" y="0"/>
                            <a:ext cx="5057775" cy="6972300"/>
                          </a:xfrm>
                          <a:prstGeom prst="rect">
                            <a:avLst/>
                          </a:prstGeom>
                          <a:noFill/>
                          <a:ln w="9525">
                            <a:noFill/>
                            <a:miter lim="800000"/>
                            <a:headEnd/>
                            <a:tailEnd/>
                          </a:ln>
                        </pic:spPr>
                      </pic:pic>
                    </a:graphicData>
                  </a:graphic>
                </wp:inline>
              </w:drawing>
            </w:r>
          </w:p>
        </w:tc>
      </w:tr>
      <w:tr w:rsidR="00FD1477" w:rsidRPr="00100833" w:rsidTr="000F52A1">
        <w:trPr>
          <w:trHeight w:val="2182"/>
        </w:trPr>
        <w:tc>
          <w:tcPr>
            <w:tcW w:w="9000" w:type="dxa"/>
            <w:gridSpan w:val="7"/>
          </w:tcPr>
          <w:p w:rsidR="00FD1477" w:rsidRPr="00152CAA" w:rsidRDefault="00FD1477" w:rsidP="000F52A1">
            <w:pPr>
              <w:snapToGrid w:val="0"/>
              <w:spacing w:line="360" w:lineRule="auto"/>
              <w:rPr>
                <w:b/>
                <w:sz w:val="24"/>
              </w:rPr>
            </w:pPr>
            <w:r w:rsidRPr="00152CAA">
              <w:rPr>
                <w:b/>
                <w:sz w:val="24"/>
              </w:rPr>
              <w:lastRenderedPageBreak/>
              <w:t>年度目标和工作内容（分年度写）</w:t>
            </w:r>
          </w:p>
          <w:p w:rsidR="00FD1477" w:rsidRDefault="00FD1477" w:rsidP="000F52A1">
            <w:pPr>
              <w:autoSpaceDE w:val="0"/>
              <w:autoSpaceDN w:val="0"/>
              <w:adjustRightInd w:val="0"/>
              <w:spacing w:line="360" w:lineRule="auto"/>
              <w:ind w:firstLineChars="100" w:firstLine="241"/>
              <w:jc w:val="left"/>
              <w:rPr>
                <w:rFonts w:hint="eastAsia"/>
                <w:sz w:val="24"/>
              </w:rPr>
            </w:pPr>
            <w:r w:rsidRPr="00B81E5F">
              <w:rPr>
                <w:rFonts w:hint="eastAsia"/>
                <w:b/>
                <w:sz w:val="24"/>
              </w:rPr>
              <w:t xml:space="preserve"> 2018</w:t>
            </w:r>
            <w:r w:rsidRPr="00B81E5F">
              <w:rPr>
                <w:rFonts w:hint="eastAsia"/>
                <w:b/>
                <w:sz w:val="24"/>
              </w:rPr>
              <w:t>年目标：</w:t>
            </w:r>
            <w:r w:rsidRPr="00152CAA">
              <w:rPr>
                <w:rFonts w:hint="eastAsia"/>
                <w:sz w:val="24"/>
              </w:rPr>
              <w:t>开展实验以及</w:t>
            </w:r>
            <w:r>
              <w:rPr>
                <w:rFonts w:hint="eastAsia"/>
                <w:sz w:val="24"/>
              </w:rPr>
              <w:t>申请实用新型专利</w:t>
            </w:r>
          </w:p>
          <w:p w:rsidR="00FD1477" w:rsidRPr="00B81E5F" w:rsidRDefault="00FD1477" w:rsidP="000F52A1">
            <w:pPr>
              <w:autoSpaceDE w:val="0"/>
              <w:autoSpaceDN w:val="0"/>
              <w:adjustRightInd w:val="0"/>
              <w:spacing w:line="360" w:lineRule="auto"/>
              <w:ind w:firstLineChars="150" w:firstLine="360"/>
              <w:jc w:val="left"/>
              <w:rPr>
                <w:rFonts w:ascii="宋体" w:hAnsi="宋体" w:hint="eastAsia"/>
                <w:sz w:val="24"/>
              </w:rPr>
            </w:pPr>
            <w:r w:rsidRPr="00B81E5F">
              <w:rPr>
                <w:rFonts w:ascii="宋体" w:hAnsi="宋体" w:hint="eastAsia"/>
                <w:sz w:val="24"/>
              </w:rPr>
              <w:t>201</w:t>
            </w:r>
            <w:r>
              <w:rPr>
                <w:rFonts w:ascii="宋体" w:hAnsi="宋体" w:hint="eastAsia"/>
                <w:sz w:val="24"/>
              </w:rPr>
              <w:t>8</w:t>
            </w:r>
            <w:r w:rsidRPr="00B81E5F">
              <w:rPr>
                <w:rFonts w:ascii="宋体" w:hAnsi="宋体" w:hint="eastAsia"/>
                <w:sz w:val="24"/>
              </w:rPr>
              <w:t>年</w:t>
            </w:r>
            <w:r>
              <w:rPr>
                <w:rFonts w:ascii="宋体" w:hAnsi="宋体" w:hint="eastAsia"/>
                <w:sz w:val="24"/>
              </w:rPr>
              <w:t>1</w:t>
            </w:r>
            <w:r w:rsidRPr="00B81E5F">
              <w:rPr>
                <w:rFonts w:ascii="宋体" w:hAnsi="宋体" w:hint="eastAsia"/>
                <w:sz w:val="24"/>
              </w:rPr>
              <w:t>月～</w:t>
            </w:r>
            <w:r>
              <w:rPr>
                <w:rFonts w:ascii="宋体" w:hAnsi="宋体" w:hint="eastAsia"/>
                <w:sz w:val="24"/>
              </w:rPr>
              <w:t>7</w:t>
            </w:r>
            <w:r w:rsidRPr="00B81E5F">
              <w:rPr>
                <w:rFonts w:ascii="宋体" w:hAnsi="宋体" w:hint="eastAsia"/>
                <w:sz w:val="24"/>
              </w:rPr>
              <w:t xml:space="preserve">月   </w:t>
            </w:r>
            <w:r>
              <w:rPr>
                <w:rFonts w:ascii="宋体" w:hAnsi="宋体" w:hint="eastAsia"/>
                <w:sz w:val="24"/>
              </w:rPr>
              <w:t>按照实验方案在邵阳隆回县开展实验并采集数据</w:t>
            </w:r>
            <w:r w:rsidRPr="00B81E5F">
              <w:rPr>
                <w:rFonts w:ascii="宋体" w:hAnsi="宋体" w:hint="eastAsia"/>
                <w:sz w:val="24"/>
              </w:rPr>
              <w:t>。</w:t>
            </w:r>
          </w:p>
          <w:p w:rsidR="00FD1477" w:rsidRDefault="00FD1477" w:rsidP="000F52A1">
            <w:pPr>
              <w:autoSpaceDE w:val="0"/>
              <w:autoSpaceDN w:val="0"/>
              <w:adjustRightInd w:val="0"/>
              <w:spacing w:line="360" w:lineRule="auto"/>
              <w:ind w:firstLineChars="150" w:firstLine="360"/>
              <w:jc w:val="left"/>
              <w:rPr>
                <w:rFonts w:ascii="宋体" w:hAnsi="宋体" w:hint="eastAsia"/>
                <w:sz w:val="24"/>
              </w:rPr>
            </w:pPr>
            <w:r>
              <w:rPr>
                <w:rFonts w:ascii="宋体" w:hAnsi="宋体" w:hint="eastAsia"/>
                <w:sz w:val="24"/>
              </w:rPr>
              <w:t>2018年4月</w:t>
            </w:r>
            <w:r w:rsidRPr="00B81E5F">
              <w:rPr>
                <w:rFonts w:ascii="宋体" w:hAnsi="宋体" w:hint="eastAsia"/>
                <w:sz w:val="24"/>
              </w:rPr>
              <w:t>～</w:t>
            </w:r>
            <w:r>
              <w:rPr>
                <w:rFonts w:ascii="宋体" w:hAnsi="宋体" w:hint="eastAsia"/>
                <w:sz w:val="24"/>
              </w:rPr>
              <w:t>6月  完善专利申请</w:t>
            </w:r>
          </w:p>
          <w:p w:rsidR="00FD1477" w:rsidRPr="00B81E5F" w:rsidRDefault="00FD1477" w:rsidP="000F52A1">
            <w:pPr>
              <w:autoSpaceDE w:val="0"/>
              <w:autoSpaceDN w:val="0"/>
              <w:adjustRightInd w:val="0"/>
              <w:spacing w:line="360" w:lineRule="auto"/>
              <w:ind w:firstLineChars="150" w:firstLine="360"/>
              <w:jc w:val="left"/>
              <w:rPr>
                <w:rFonts w:ascii="宋体" w:hAnsi="宋体" w:hint="eastAsia"/>
                <w:sz w:val="24"/>
              </w:rPr>
            </w:pPr>
            <w:r w:rsidRPr="00B81E5F">
              <w:rPr>
                <w:rFonts w:ascii="宋体" w:hAnsi="宋体" w:hint="eastAsia"/>
                <w:sz w:val="24"/>
              </w:rPr>
              <w:t>201</w:t>
            </w:r>
            <w:r>
              <w:rPr>
                <w:rFonts w:ascii="宋体" w:hAnsi="宋体" w:hint="eastAsia"/>
                <w:sz w:val="24"/>
              </w:rPr>
              <w:t>8</w:t>
            </w:r>
            <w:r w:rsidRPr="00B81E5F">
              <w:rPr>
                <w:rFonts w:ascii="宋体" w:hAnsi="宋体" w:hint="eastAsia"/>
                <w:sz w:val="24"/>
              </w:rPr>
              <w:t>年</w:t>
            </w:r>
            <w:r>
              <w:rPr>
                <w:rFonts w:ascii="宋体" w:hAnsi="宋体" w:hint="eastAsia"/>
                <w:sz w:val="24"/>
              </w:rPr>
              <w:t>8</w:t>
            </w:r>
            <w:r w:rsidRPr="00B81E5F">
              <w:rPr>
                <w:rFonts w:ascii="宋体" w:hAnsi="宋体" w:hint="eastAsia"/>
                <w:sz w:val="24"/>
              </w:rPr>
              <w:t xml:space="preserve">月～10月  </w:t>
            </w:r>
            <w:r>
              <w:rPr>
                <w:rFonts w:ascii="宋体" w:hAnsi="宋体" w:hint="eastAsia"/>
                <w:sz w:val="24"/>
              </w:rPr>
              <w:t>实验室分析烤后烟叶化学成分</w:t>
            </w:r>
          </w:p>
          <w:p w:rsidR="00FD1477" w:rsidRPr="00B81E5F" w:rsidRDefault="00FD1477" w:rsidP="000F52A1">
            <w:pPr>
              <w:autoSpaceDE w:val="0"/>
              <w:autoSpaceDN w:val="0"/>
              <w:adjustRightInd w:val="0"/>
              <w:snapToGrid w:val="0"/>
              <w:spacing w:line="360" w:lineRule="auto"/>
              <w:ind w:firstLineChars="150" w:firstLine="360"/>
              <w:rPr>
                <w:rFonts w:ascii="宋体" w:hAnsi="宋体" w:hint="eastAsia"/>
                <w:sz w:val="24"/>
              </w:rPr>
            </w:pPr>
            <w:r w:rsidRPr="00B81E5F">
              <w:rPr>
                <w:rFonts w:ascii="宋体" w:hAnsi="宋体" w:hint="eastAsia"/>
                <w:sz w:val="24"/>
              </w:rPr>
              <w:t>2018年</w:t>
            </w:r>
            <w:r>
              <w:rPr>
                <w:rFonts w:ascii="宋体" w:hAnsi="宋体" w:hint="eastAsia"/>
                <w:sz w:val="24"/>
              </w:rPr>
              <w:t>1</w:t>
            </w:r>
            <w:r w:rsidRPr="00B81E5F">
              <w:rPr>
                <w:rFonts w:ascii="宋体" w:hAnsi="宋体" w:hint="eastAsia"/>
                <w:sz w:val="24"/>
              </w:rPr>
              <w:t>1月～</w:t>
            </w:r>
            <w:r>
              <w:rPr>
                <w:rFonts w:ascii="宋体" w:hAnsi="宋体" w:hint="eastAsia"/>
                <w:sz w:val="24"/>
              </w:rPr>
              <w:t>12</w:t>
            </w:r>
            <w:r w:rsidRPr="00B81E5F">
              <w:rPr>
                <w:rFonts w:ascii="宋体" w:hAnsi="宋体" w:hint="eastAsia"/>
                <w:sz w:val="24"/>
              </w:rPr>
              <w:t xml:space="preserve">月 </w:t>
            </w:r>
            <w:r>
              <w:rPr>
                <w:rFonts w:ascii="宋体" w:hAnsi="宋体" w:hint="eastAsia"/>
                <w:sz w:val="24"/>
              </w:rPr>
              <w:t>分析数据</w:t>
            </w:r>
          </w:p>
          <w:p w:rsidR="00FD1477" w:rsidRDefault="00FD1477" w:rsidP="000F52A1">
            <w:pPr>
              <w:autoSpaceDE w:val="0"/>
              <w:autoSpaceDN w:val="0"/>
              <w:adjustRightInd w:val="0"/>
              <w:spacing w:line="360" w:lineRule="auto"/>
              <w:ind w:firstLineChars="149" w:firstLine="359"/>
              <w:jc w:val="left"/>
              <w:rPr>
                <w:rFonts w:hint="eastAsia"/>
                <w:sz w:val="24"/>
              </w:rPr>
            </w:pPr>
            <w:r w:rsidRPr="00B81E5F">
              <w:rPr>
                <w:rFonts w:hint="eastAsia"/>
                <w:b/>
                <w:sz w:val="24"/>
              </w:rPr>
              <w:lastRenderedPageBreak/>
              <w:t>201</w:t>
            </w:r>
            <w:r>
              <w:rPr>
                <w:rFonts w:hint="eastAsia"/>
                <w:b/>
                <w:sz w:val="24"/>
              </w:rPr>
              <w:t>9</w:t>
            </w:r>
            <w:r w:rsidRPr="00B81E5F">
              <w:rPr>
                <w:rFonts w:hint="eastAsia"/>
                <w:b/>
                <w:sz w:val="24"/>
              </w:rPr>
              <w:t>年目标：</w:t>
            </w:r>
            <w:r w:rsidRPr="00E23C04">
              <w:rPr>
                <w:rFonts w:hint="eastAsia"/>
                <w:sz w:val="24"/>
              </w:rPr>
              <w:t>发表研究性论文</w:t>
            </w:r>
            <w:r w:rsidRPr="00E23C04">
              <w:rPr>
                <w:rFonts w:hint="eastAsia"/>
                <w:sz w:val="24"/>
              </w:rPr>
              <w:t>1-2</w:t>
            </w:r>
            <w:r w:rsidRPr="00E23C04">
              <w:rPr>
                <w:rFonts w:hint="eastAsia"/>
                <w:sz w:val="24"/>
              </w:rPr>
              <w:t>篇，</w:t>
            </w:r>
            <w:r w:rsidRPr="00E23C04">
              <w:rPr>
                <w:rFonts w:ascii="宋体" w:hAnsi="宋体"/>
                <w:sz w:val="24"/>
              </w:rPr>
              <w:t>撰</w:t>
            </w:r>
            <w:r w:rsidRPr="00B81E5F">
              <w:rPr>
                <w:rFonts w:ascii="宋体" w:hAnsi="宋体"/>
                <w:sz w:val="24"/>
              </w:rPr>
              <w:t>写</w:t>
            </w:r>
            <w:r>
              <w:rPr>
                <w:rFonts w:ascii="宋体" w:hAnsi="宋体" w:hint="eastAsia"/>
                <w:sz w:val="24"/>
              </w:rPr>
              <w:t>结题报告</w:t>
            </w:r>
          </w:p>
          <w:p w:rsidR="00FD1477" w:rsidRPr="00B81E5F" w:rsidRDefault="00FD1477" w:rsidP="000F52A1">
            <w:pPr>
              <w:autoSpaceDE w:val="0"/>
              <w:autoSpaceDN w:val="0"/>
              <w:adjustRightInd w:val="0"/>
              <w:spacing w:line="360" w:lineRule="auto"/>
              <w:ind w:firstLineChars="150" w:firstLine="360"/>
              <w:jc w:val="left"/>
              <w:rPr>
                <w:rFonts w:ascii="宋体" w:hAnsi="宋体" w:hint="eastAsia"/>
                <w:sz w:val="24"/>
              </w:rPr>
            </w:pPr>
            <w:r w:rsidRPr="00B81E5F">
              <w:rPr>
                <w:rFonts w:ascii="宋体" w:hAnsi="宋体" w:hint="eastAsia"/>
                <w:sz w:val="24"/>
              </w:rPr>
              <w:t>201</w:t>
            </w:r>
            <w:r>
              <w:rPr>
                <w:rFonts w:ascii="宋体" w:hAnsi="宋体" w:hint="eastAsia"/>
                <w:sz w:val="24"/>
              </w:rPr>
              <w:t>9</w:t>
            </w:r>
            <w:r w:rsidRPr="00B81E5F">
              <w:rPr>
                <w:rFonts w:ascii="宋体" w:hAnsi="宋体" w:hint="eastAsia"/>
                <w:sz w:val="24"/>
              </w:rPr>
              <w:t>年</w:t>
            </w:r>
            <w:r>
              <w:rPr>
                <w:rFonts w:ascii="宋体" w:hAnsi="宋体" w:hint="eastAsia"/>
                <w:sz w:val="24"/>
              </w:rPr>
              <w:t>1</w:t>
            </w:r>
            <w:r w:rsidRPr="00B81E5F">
              <w:rPr>
                <w:rFonts w:ascii="宋体" w:hAnsi="宋体" w:hint="eastAsia"/>
                <w:sz w:val="24"/>
              </w:rPr>
              <w:t>月～</w:t>
            </w:r>
            <w:r>
              <w:rPr>
                <w:rFonts w:ascii="宋体" w:hAnsi="宋体" w:hint="eastAsia"/>
                <w:sz w:val="24"/>
              </w:rPr>
              <w:t>7</w:t>
            </w:r>
            <w:r w:rsidRPr="00B81E5F">
              <w:rPr>
                <w:rFonts w:ascii="宋体" w:hAnsi="宋体" w:hint="eastAsia"/>
                <w:sz w:val="24"/>
              </w:rPr>
              <w:t xml:space="preserve">月   </w:t>
            </w:r>
            <w:r>
              <w:rPr>
                <w:rFonts w:ascii="宋体" w:hAnsi="宋体" w:hint="eastAsia"/>
                <w:sz w:val="24"/>
              </w:rPr>
              <w:t>重复2017年实验并采集数据</w:t>
            </w:r>
            <w:r w:rsidRPr="00B81E5F">
              <w:rPr>
                <w:rFonts w:ascii="宋体" w:hAnsi="宋体" w:hint="eastAsia"/>
                <w:sz w:val="24"/>
              </w:rPr>
              <w:t>。</w:t>
            </w:r>
          </w:p>
          <w:p w:rsidR="00FD1477" w:rsidRPr="00B81E5F" w:rsidRDefault="00FD1477" w:rsidP="000F52A1">
            <w:pPr>
              <w:autoSpaceDE w:val="0"/>
              <w:autoSpaceDN w:val="0"/>
              <w:adjustRightInd w:val="0"/>
              <w:spacing w:line="360" w:lineRule="auto"/>
              <w:ind w:firstLineChars="150" w:firstLine="360"/>
              <w:jc w:val="left"/>
              <w:rPr>
                <w:rFonts w:ascii="宋体" w:hAnsi="宋体" w:hint="eastAsia"/>
                <w:sz w:val="24"/>
              </w:rPr>
            </w:pPr>
            <w:r w:rsidRPr="00B81E5F">
              <w:rPr>
                <w:rFonts w:ascii="宋体" w:hAnsi="宋体" w:hint="eastAsia"/>
                <w:sz w:val="24"/>
              </w:rPr>
              <w:t>201</w:t>
            </w:r>
            <w:r>
              <w:rPr>
                <w:rFonts w:ascii="宋体" w:hAnsi="宋体" w:hint="eastAsia"/>
                <w:sz w:val="24"/>
              </w:rPr>
              <w:t>9</w:t>
            </w:r>
            <w:r w:rsidRPr="00B81E5F">
              <w:rPr>
                <w:rFonts w:ascii="宋体" w:hAnsi="宋体" w:hint="eastAsia"/>
                <w:sz w:val="24"/>
              </w:rPr>
              <w:t>年</w:t>
            </w:r>
            <w:r>
              <w:rPr>
                <w:rFonts w:ascii="宋体" w:hAnsi="宋体" w:hint="eastAsia"/>
                <w:sz w:val="24"/>
              </w:rPr>
              <w:t>8</w:t>
            </w:r>
            <w:r w:rsidRPr="00B81E5F">
              <w:rPr>
                <w:rFonts w:ascii="宋体" w:hAnsi="宋体" w:hint="eastAsia"/>
                <w:sz w:val="24"/>
              </w:rPr>
              <w:t>月～</w:t>
            </w:r>
            <w:r>
              <w:rPr>
                <w:rFonts w:ascii="宋体" w:hAnsi="宋体" w:hint="eastAsia"/>
                <w:sz w:val="24"/>
              </w:rPr>
              <w:t>9</w:t>
            </w:r>
            <w:r w:rsidRPr="00B81E5F">
              <w:rPr>
                <w:rFonts w:ascii="宋体" w:hAnsi="宋体" w:hint="eastAsia"/>
                <w:sz w:val="24"/>
              </w:rPr>
              <w:t xml:space="preserve">月  </w:t>
            </w:r>
            <w:r>
              <w:rPr>
                <w:rFonts w:ascii="宋体" w:hAnsi="宋体" w:hint="eastAsia"/>
                <w:sz w:val="24"/>
              </w:rPr>
              <w:t>实验室分析烤后烟叶化学成分，分析数据</w:t>
            </w:r>
          </w:p>
          <w:p w:rsidR="00FD1477" w:rsidRDefault="00FD1477" w:rsidP="000F52A1">
            <w:pPr>
              <w:autoSpaceDE w:val="0"/>
              <w:autoSpaceDN w:val="0"/>
              <w:adjustRightInd w:val="0"/>
              <w:snapToGrid w:val="0"/>
              <w:spacing w:line="360" w:lineRule="auto"/>
              <w:ind w:firstLineChars="150" w:firstLine="360"/>
              <w:rPr>
                <w:rFonts w:ascii="宋体" w:hAnsi="宋体" w:hint="eastAsia"/>
                <w:sz w:val="24"/>
              </w:rPr>
            </w:pPr>
            <w:r w:rsidRPr="00B81E5F">
              <w:rPr>
                <w:rFonts w:ascii="宋体" w:hAnsi="宋体" w:hint="eastAsia"/>
                <w:sz w:val="24"/>
              </w:rPr>
              <w:t>201</w:t>
            </w:r>
            <w:r>
              <w:rPr>
                <w:rFonts w:ascii="宋体" w:hAnsi="宋体" w:hint="eastAsia"/>
                <w:sz w:val="24"/>
              </w:rPr>
              <w:t>9</w:t>
            </w:r>
            <w:r w:rsidRPr="00B81E5F">
              <w:rPr>
                <w:rFonts w:ascii="宋体" w:hAnsi="宋体" w:hint="eastAsia"/>
                <w:sz w:val="24"/>
              </w:rPr>
              <w:t>年</w:t>
            </w:r>
            <w:r>
              <w:rPr>
                <w:rFonts w:ascii="宋体" w:hAnsi="宋体" w:hint="eastAsia"/>
                <w:sz w:val="24"/>
              </w:rPr>
              <w:t>10</w:t>
            </w:r>
            <w:r w:rsidRPr="00B81E5F">
              <w:rPr>
                <w:rFonts w:ascii="宋体" w:hAnsi="宋体" w:hint="eastAsia"/>
                <w:sz w:val="24"/>
              </w:rPr>
              <w:t>月～</w:t>
            </w:r>
            <w:r>
              <w:rPr>
                <w:rFonts w:ascii="宋体" w:hAnsi="宋体" w:hint="eastAsia"/>
                <w:sz w:val="24"/>
              </w:rPr>
              <w:t>11</w:t>
            </w:r>
            <w:r w:rsidRPr="00B81E5F">
              <w:rPr>
                <w:rFonts w:ascii="宋体" w:hAnsi="宋体" w:hint="eastAsia"/>
                <w:sz w:val="24"/>
              </w:rPr>
              <w:t xml:space="preserve">月 </w:t>
            </w:r>
            <w:r w:rsidRPr="00B81E5F">
              <w:rPr>
                <w:rFonts w:ascii="宋体" w:hAnsi="宋体"/>
                <w:sz w:val="24"/>
              </w:rPr>
              <w:t>撰写</w:t>
            </w:r>
            <w:r>
              <w:rPr>
                <w:rFonts w:ascii="宋体" w:hAnsi="宋体" w:hint="eastAsia"/>
                <w:sz w:val="24"/>
              </w:rPr>
              <w:t>并发表</w:t>
            </w:r>
            <w:r w:rsidRPr="00B81E5F">
              <w:rPr>
                <w:rFonts w:ascii="宋体" w:hAnsi="宋体"/>
                <w:sz w:val="24"/>
              </w:rPr>
              <w:t>论文</w:t>
            </w:r>
          </w:p>
          <w:p w:rsidR="00FD1477" w:rsidRPr="00E23C04" w:rsidRDefault="00FD1477" w:rsidP="000F52A1">
            <w:pPr>
              <w:autoSpaceDE w:val="0"/>
              <w:autoSpaceDN w:val="0"/>
              <w:adjustRightInd w:val="0"/>
              <w:snapToGrid w:val="0"/>
              <w:spacing w:line="360" w:lineRule="auto"/>
              <w:ind w:firstLineChars="150" w:firstLine="360"/>
              <w:rPr>
                <w:rFonts w:ascii="宋体" w:hAnsi="宋体"/>
                <w:sz w:val="24"/>
              </w:rPr>
            </w:pPr>
            <w:r w:rsidRPr="00B81E5F">
              <w:rPr>
                <w:rFonts w:ascii="宋体" w:hAnsi="宋体" w:hint="eastAsia"/>
                <w:sz w:val="24"/>
              </w:rPr>
              <w:t>201</w:t>
            </w:r>
            <w:r>
              <w:rPr>
                <w:rFonts w:ascii="宋体" w:hAnsi="宋体" w:hint="eastAsia"/>
                <w:sz w:val="24"/>
              </w:rPr>
              <w:t>9</w:t>
            </w:r>
            <w:r w:rsidRPr="00B81E5F">
              <w:rPr>
                <w:rFonts w:ascii="宋体" w:hAnsi="宋体" w:hint="eastAsia"/>
                <w:sz w:val="24"/>
              </w:rPr>
              <w:t>年</w:t>
            </w:r>
            <w:r>
              <w:rPr>
                <w:rFonts w:ascii="宋体" w:hAnsi="宋体" w:hint="eastAsia"/>
                <w:sz w:val="24"/>
              </w:rPr>
              <w:t>12</w:t>
            </w:r>
            <w:r w:rsidRPr="00B81E5F">
              <w:rPr>
                <w:rFonts w:ascii="宋体" w:hAnsi="宋体" w:hint="eastAsia"/>
                <w:sz w:val="24"/>
              </w:rPr>
              <w:t xml:space="preserve">月 </w:t>
            </w:r>
            <w:r w:rsidRPr="00B81E5F">
              <w:rPr>
                <w:rFonts w:ascii="宋体" w:hAnsi="宋体"/>
                <w:sz w:val="24"/>
              </w:rPr>
              <w:t>撰写</w:t>
            </w:r>
            <w:r>
              <w:rPr>
                <w:rFonts w:ascii="宋体" w:hAnsi="宋体" w:hint="eastAsia"/>
                <w:sz w:val="24"/>
              </w:rPr>
              <w:t xml:space="preserve">结题报告，申请结题 </w:t>
            </w:r>
          </w:p>
        </w:tc>
      </w:tr>
      <w:tr w:rsidR="00FD1477" w:rsidRPr="00100833" w:rsidTr="000F52A1">
        <w:trPr>
          <w:trHeight w:val="9690"/>
        </w:trPr>
        <w:tc>
          <w:tcPr>
            <w:tcW w:w="9000" w:type="dxa"/>
            <w:gridSpan w:val="7"/>
            <w:vAlign w:val="center"/>
          </w:tcPr>
          <w:p w:rsidR="00FD1477" w:rsidRPr="00100833" w:rsidRDefault="00FD1477" w:rsidP="000F52A1">
            <w:pPr>
              <w:snapToGrid w:val="0"/>
              <w:rPr>
                <w:sz w:val="24"/>
              </w:rPr>
            </w:pPr>
            <w:r w:rsidRPr="00100833">
              <w:rPr>
                <w:sz w:val="24"/>
              </w:rPr>
              <w:lastRenderedPageBreak/>
              <w:t>指导教师意见</w:t>
            </w:r>
          </w:p>
          <w:p w:rsidR="00FD1477" w:rsidRDefault="00FD1477" w:rsidP="000F52A1">
            <w:pPr>
              <w:snapToGrid w:val="0"/>
              <w:rPr>
                <w:rFonts w:hint="eastAsia"/>
                <w:sz w:val="24"/>
              </w:rPr>
            </w:pPr>
          </w:p>
          <w:p w:rsidR="00FD1477" w:rsidRDefault="00FD1477" w:rsidP="000F52A1">
            <w:pPr>
              <w:snapToGrid w:val="0"/>
              <w:ind w:left="180"/>
              <w:rPr>
                <w:rFonts w:hint="eastAsia"/>
                <w:sz w:val="24"/>
              </w:rPr>
            </w:pPr>
          </w:p>
          <w:p w:rsidR="00FD1477" w:rsidRDefault="00FD1477" w:rsidP="000F52A1">
            <w:pPr>
              <w:snapToGrid w:val="0"/>
              <w:ind w:left="180"/>
              <w:rPr>
                <w:rFonts w:hint="eastAsia"/>
                <w:sz w:val="24"/>
              </w:rPr>
            </w:pPr>
          </w:p>
          <w:p w:rsidR="00FD1477" w:rsidRDefault="00FD1477" w:rsidP="000F52A1">
            <w:pPr>
              <w:snapToGrid w:val="0"/>
              <w:ind w:left="180"/>
              <w:rPr>
                <w:rFonts w:hint="eastAsia"/>
                <w:sz w:val="24"/>
              </w:rPr>
            </w:pPr>
          </w:p>
          <w:p w:rsidR="00FD1477" w:rsidRDefault="00FD1477" w:rsidP="000F52A1">
            <w:pPr>
              <w:snapToGrid w:val="0"/>
              <w:ind w:left="180"/>
              <w:rPr>
                <w:rFonts w:hint="eastAsia"/>
                <w:sz w:val="24"/>
              </w:rPr>
            </w:pPr>
          </w:p>
          <w:p w:rsidR="00FD1477" w:rsidRDefault="00FD1477" w:rsidP="000F52A1">
            <w:pPr>
              <w:snapToGrid w:val="0"/>
              <w:ind w:left="180"/>
              <w:rPr>
                <w:rFonts w:hint="eastAsia"/>
                <w:sz w:val="24"/>
              </w:rPr>
            </w:pPr>
          </w:p>
          <w:p w:rsidR="00FD1477" w:rsidRDefault="00FD1477" w:rsidP="000F52A1">
            <w:pPr>
              <w:snapToGrid w:val="0"/>
              <w:ind w:left="180"/>
              <w:rPr>
                <w:rFonts w:hint="eastAsia"/>
                <w:sz w:val="24"/>
              </w:rPr>
            </w:pPr>
          </w:p>
          <w:p w:rsidR="00FD1477" w:rsidRDefault="00FD1477" w:rsidP="000F52A1">
            <w:pPr>
              <w:snapToGrid w:val="0"/>
              <w:ind w:left="180"/>
              <w:rPr>
                <w:rFonts w:hint="eastAsia"/>
                <w:sz w:val="24"/>
              </w:rPr>
            </w:pPr>
          </w:p>
          <w:p w:rsidR="00FD1477" w:rsidRDefault="00FD1477" w:rsidP="000F52A1">
            <w:pPr>
              <w:snapToGrid w:val="0"/>
              <w:ind w:left="180"/>
              <w:rPr>
                <w:rFonts w:hint="eastAsia"/>
                <w:sz w:val="24"/>
              </w:rPr>
            </w:pPr>
          </w:p>
          <w:p w:rsidR="00FD1477" w:rsidRDefault="00FD1477" w:rsidP="000F52A1">
            <w:pPr>
              <w:snapToGrid w:val="0"/>
              <w:ind w:left="180"/>
              <w:rPr>
                <w:rFonts w:hint="eastAsia"/>
                <w:sz w:val="24"/>
              </w:rPr>
            </w:pPr>
          </w:p>
          <w:p w:rsidR="00FD1477" w:rsidRDefault="00FD1477" w:rsidP="000F52A1">
            <w:pPr>
              <w:snapToGrid w:val="0"/>
              <w:ind w:left="180"/>
              <w:rPr>
                <w:rFonts w:hint="eastAsia"/>
                <w:sz w:val="24"/>
              </w:rPr>
            </w:pPr>
          </w:p>
          <w:p w:rsidR="00FD1477" w:rsidRDefault="00FD1477" w:rsidP="000F52A1">
            <w:pPr>
              <w:snapToGrid w:val="0"/>
              <w:ind w:left="180"/>
              <w:rPr>
                <w:rFonts w:hint="eastAsia"/>
                <w:sz w:val="24"/>
              </w:rPr>
            </w:pPr>
          </w:p>
          <w:p w:rsidR="00FD1477" w:rsidRDefault="00FD1477" w:rsidP="000F52A1">
            <w:pPr>
              <w:snapToGrid w:val="0"/>
              <w:ind w:left="180"/>
              <w:rPr>
                <w:rFonts w:hint="eastAsia"/>
                <w:sz w:val="24"/>
              </w:rPr>
            </w:pPr>
          </w:p>
          <w:p w:rsidR="00FD1477" w:rsidRDefault="00FD1477" w:rsidP="000F52A1">
            <w:pPr>
              <w:snapToGrid w:val="0"/>
              <w:ind w:left="180"/>
              <w:rPr>
                <w:rFonts w:hint="eastAsia"/>
                <w:sz w:val="24"/>
              </w:rPr>
            </w:pPr>
          </w:p>
          <w:p w:rsidR="00FD1477" w:rsidRDefault="00FD1477" w:rsidP="000F52A1">
            <w:pPr>
              <w:snapToGrid w:val="0"/>
              <w:ind w:left="180"/>
              <w:rPr>
                <w:rFonts w:hint="eastAsia"/>
                <w:sz w:val="24"/>
              </w:rPr>
            </w:pPr>
          </w:p>
          <w:p w:rsidR="00FD1477" w:rsidRDefault="00FD1477" w:rsidP="000F52A1">
            <w:pPr>
              <w:snapToGrid w:val="0"/>
              <w:ind w:left="180"/>
              <w:rPr>
                <w:rFonts w:hint="eastAsia"/>
                <w:sz w:val="24"/>
              </w:rPr>
            </w:pPr>
          </w:p>
          <w:p w:rsidR="00FD1477" w:rsidRDefault="00FD1477" w:rsidP="000F52A1">
            <w:pPr>
              <w:snapToGrid w:val="0"/>
              <w:ind w:left="180"/>
              <w:rPr>
                <w:rFonts w:hint="eastAsia"/>
                <w:sz w:val="24"/>
              </w:rPr>
            </w:pPr>
          </w:p>
          <w:p w:rsidR="00FD1477" w:rsidRDefault="00FD1477" w:rsidP="000F52A1">
            <w:pPr>
              <w:snapToGrid w:val="0"/>
              <w:ind w:left="180"/>
              <w:rPr>
                <w:rFonts w:hint="eastAsia"/>
                <w:sz w:val="24"/>
              </w:rPr>
            </w:pPr>
          </w:p>
          <w:p w:rsidR="00FD1477" w:rsidRDefault="00FD1477" w:rsidP="000F52A1">
            <w:pPr>
              <w:snapToGrid w:val="0"/>
              <w:ind w:left="180"/>
              <w:rPr>
                <w:rFonts w:hint="eastAsia"/>
                <w:sz w:val="24"/>
              </w:rPr>
            </w:pPr>
          </w:p>
          <w:p w:rsidR="00FD1477" w:rsidRDefault="00FD1477" w:rsidP="000F52A1">
            <w:pPr>
              <w:snapToGrid w:val="0"/>
              <w:ind w:left="180"/>
              <w:rPr>
                <w:rFonts w:hint="eastAsia"/>
                <w:sz w:val="24"/>
              </w:rPr>
            </w:pPr>
          </w:p>
          <w:p w:rsidR="00FD1477" w:rsidRDefault="00FD1477" w:rsidP="000F52A1">
            <w:pPr>
              <w:snapToGrid w:val="0"/>
              <w:ind w:left="180"/>
              <w:rPr>
                <w:rFonts w:hint="eastAsia"/>
                <w:sz w:val="24"/>
              </w:rPr>
            </w:pPr>
          </w:p>
          <w:p w:rsidR="00FD1477" w:rsidRDefault="00FD1477" w:rsidP="000F52A1">
            <w:pPr>
              <w:snapToGrid w:val="0"/>
              <w:ind w:left="180"/>
              <w:rPr>
                <w:rFonts w:hint="eastAsia"/>
                <w:sz w:val="24"/>
              </w:rPr>
            </w:pPr>
          </w:p>
          <w:p w:rsidR="00FD1477" w:rsidRDefault="00FD1477" w:rsidP="000F52A1">
            <w:pPr>
              <w:snapToGrid w:val="0"/>
              <w:ind w:left="180"/>
              <w:rPr>
                <w:rFonts w:hint="eastAsia"/>
                <w:sz w:val="24"/>
              </w:rPr>
            </w:pPr>
          </w:p>
          <w:p w:rsidR="00FD1477" w:rsidRDefault="00FD1477" w:rsidP="000F52A1">
            <w:pPr>
              <w:snapToGrid w:val="0"/>
              <w:ind w:left="180"/>
              <w:rPr>
                <w:rFonts w:hint="eastAsia"/>
                <w:sz w:val="24"/>
              </w:rPr>
            </w:pPr>
          </w:p>
          <w:p w:rsidR="00FD1477" w:rsidRDefault="00FD1477" w:rsidP="000F52A1">
            <w:pPr>
              <w:snapToGrid w:val="0"/>
              <w:ind w:left="180"/>
              <w:rPr>
                <w:rFonts w:hint="eastAsia"/>
                <w:sz w:val="24"/>
              </w:rPr>
            </w:pPr>
          </w:p>
          <w:p w:rsidR="00FD1477" w:rsidRDefault="00FD1477" w:rsidP="000F52A1">
            <w:pPr>
              <w:snapToGrid w:val="0"/>
              <w:rPr>
                <w:rFonts w:hint="eastAsia"/>
                <w:sz w:val="24"/>
              </w:rPr>
            </w:pPr>
          </w:p>
          <w:p w:rsidR="00FD1477" w:rsidRDefault="00FD1477" w:rsidP="000F52A1">
            <w:pPr>
              <w:snapToGrid w:val="0"/>
              <w:rPr>
                <w:rFonts w:hint="eastAsia"/>
                <w:sz w:val="24"/>
              </w:rPr>
            </w:pPr>
          </w:p>
          <w:p w:rsidR="00FD1477" w:rsidRDefault="00FD1477" w:rsidP="000F52A1">
            <w:pPr>
              <w:snapToGrid w:val="0"/>
              <w:ind w:left="180"/>
              <w:rPr>
                <w:rFonts w:hint="eastAsia"/>
                <w:sz w:val="24"/>
              </w:rPr>
            </w:pPr>
          </w:p>
          <w:p w:rsidR="00FD1477" w:rsidRDefault="00FD1477" w:rsidP="000F52A1">
            <w:pPr>
              <w:snapToGrid w:val="0"/>
              <w:ind w:left="180"/>
              <w:rPr>
                <w:rFonts w:hint="eastAsia"/>
                <w:sz w:val="24"/>
              </w:rPr>
            </w:pPr>
          </w:p>
          <w:p w:rsidR="00FD1477" w:rsidRDefault="00FD1477" w:rsidP="000F52A1">
            <w:pPr>
              <w:snapToGrid w:val="0"/>
              <w:ind w:left="180"/>
              <w:rPr>
                <w:rFonts w:hint="eastAsia"/>
                <w:sz w:val="24"/>
              </w:rPr>
            </w:pPr>
          </w:p>
          <w:p w:rsidR="00FD1477" w:rsidRPr="00100833" w:rsidRDefault="00FD1477" w:rsidP="000F52A1">
            <w:pPr>
              <w:snapToGrid w:val="0"/>
              <w:ind w:left="180"/>
              <w:rPr>
                <w:sz w:val="24"/>
              </w:rPr>
            </w:pPr>
          </w:p>
          <w:p w:rsidR="00FD1477" w:rsidRPr="008B5C28" w:rsidRDefault="00FD1477" w:rsidP="000F52A1">
            <w:pPr>
              <w:snapToGrid w:val="0"/>
              <w:ind w:firstLineChars="1450" w:firstLine="3494"/>
              <w:rPr>
                <w:b/>
                <w:sz w:val="24"/>
              </w:rPr>
            </w:pPr>
            <w:r w:rsidRPr="00CE5CC7">
              <w:rPr>
                <w:b/>
                <w:sz w:val="24"/>
              </w:rPr>
              <w:t>签字：</w:t>
            </w:r>
            <w:r w:rsidRPr="00CE5CC7">
              <w:rPr>
                <w:b/>
                <w:sz w:val="24"/>
              </w:rPr>
              <w:t xml:space="preserve">                </w:t>
            </w:r>
            <w:r w:rsidRPr="00CE5CC7">
              <w:rPr>
                <w:b/>
                <w:sz w:val="24"/>
              </w:rPr>
              <w:t>日期：</w:t>
            </w:r>
          </w:p>
        </w:tc>
      </w:tr>
    </w:tbl>
    <w:p w:rsidR="00FD1477" w:rsidRPr="00112270" w:rsidRDefault="00FD1477" w:rsidP="00FD1477">
      <w:pPr>
        <w:autoSpaceDE w:val="0"/>
        <w:autoSpaceDN w:val="0"/>
        <w:adjustRightInd w:val="0"/>
        <w:jc w:val="left"/>
        <w:rPr>
          <w:sz w:val="28"/>
          <w:szCs w:val="28"/>
        </w:rPr>
      </w:pPr>
    </w:p>
    <w:p w:rsidR="00836E7D" w:rsidRPr="00FD1477" w:rsidRDefault="00836E7D"/>
    <w:sectPr w:rsidR="00836E7D" w:rsidRPr="00FD1477" w:rsidSect="00093F53">
      <w:footerReference w:type="even" r:id="rId11"/>
      <w:footerReference w:type="default" r:id="rId12"/>
      <w:pgSz w:w="11906" w:h="16838"/>
      <w:pgMar w:top="993" w:right="1700" w:bottom="1276"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E4E" w:rsidRDefault="00FD1477" w:rsidP="00FF775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77E4E" w:rsidRDefault="00FD147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E4E" w:rsidRDefault="00FD1477" w:rsidP="00FF775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8</w:t>
    </w:r>
    <w:r>
      <w:rPr>
        <w:rStyle w:val="a4"/>
      </w:rPr>
      <w:fldChar w:fldCharType="end"/>
    </w:r>
  </w:p>
  <w:p w:rsidR="00977E4E" w:rsidRDefault="00FD1477">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66BE1"/>
    <w:multiLevelType w:val="hybridMultilevel"/>
    <w:tmpl w:val="7D220C98"/>
    <w:lvl w:ilvl="0" w:tplc="B8DA38EE">
      <w:start w:val="1"/>
      <w:numFmt w:val="decimal"/>
      <w:lvlText w:val="%1、"/>
      <w:lvlJc w:val="left"/>
      <w:pPr>
        <w:ind w:left="854" w:hanging="375"/>
      </w:pPr>
      <w:rPr>
        <w:rFonts w:hint="default"/>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1477"/>
    <w:rsid w:val="00836E7D"/>
    <w:rsid w:val="00FD14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477"/>
    <w:pPr>
      <w:widowControl w:val="0"/>
      <w:jc w:val="both"/>
    </w:pPr>
    <w:rPr>
      <w:rFonts w:ascii="Times New Roman" w:eastAsia="宋体" w:hAnsi="Times New Roman" w:cs="Times New Roman"/>
      <w:szCs w:val="24"/>
    </w:rPr>
  </w:style>
  <w:style w:type="paragraph" w:styleId="3">
    <w:name w:val="heading 3"/>
    <w:basedOn w:val="a"/>
    <w:next w:val="a"/>
    <w:link w:val="3Char"/>
    <w:qFormat/>
    <w:rsid w:val="00FD1477"/>
    <w:pPr>
      <w:keepNext/>
      <w:keepLines/>
      <w:spacing w:beforeLines="50" w:line="440" w:lineRule="exact"/>
      <w:outlineLvl w:val="2"/>
    </w:pPr>
    <w:rPr>
      <w:rFonts w:eastAsia="黑体"/>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FD1477"/>
    <w:rPr>
      <w:rFonts w:ascii="Times New Roman" w:eastAsia="黑体" w:hAnsi="Times New Roman" w:cs="Times New Roman"/>
      <w:bCs/>
      <w:sz w:val="24"/>
      <w:szCs w:val="32"/>
    </w:rPr>
  </w:style>
  <w:style w:type="paragraph" w:styleId="a3">
    <w:name w:val="footer"/>
    <w:basedOn w:val="a"/>
    <w:link w:val="Char"/>
    <w:rsid w:val="00FD1477"/>
    <w:pPr>
      <w:tabs>
        <w:tab w:val="center" w:pos="4153"/>
        <w:tab w:val="right" w:pos="8306"/>
      </w:tabs>
      <w:snapToGrid w:val="0"/>
      <w:jc w:val="left"/>
    </w:pPr>
    <w:rPr>
      <w:sz w:val="18"/>
      <w:szCs w:val="18"/>
    </w:rPr>
  </w:style>
  <w:style w:type="character" w:customStyle="1" w:styleId="Char">
    <w:name w:val="页脚 Char"/>
    <w:basedOn w:val="a0"/>
    <w:link w:val="a3"/>
    <w:rsid w:val="00FD1477"/>
    <w:rPr>
      <w:rFonts w:ascii="Times New Roman" w:eastAsia="宋体" w:hAnsi="Times New Roman" w:cs="Times New Roman"/>
      <w:sz w:val="18"/>
      <w:szCs w:val="18"/>
    </w:rPr>
  </w:style>
  <w:style w:type="character" w:styleId="a4">
    <w:name w:val="page number"/>
    <w:basedOn w:val="a0"/>
    <w:rsid w:val="00FD1477"/>
  </w:style>
  <w:style w:type="character" w:customStyle="1" w:styleId="a5">
    <w:name w:val="内容"/>
    <w:semiHidden/>
    <w:qFormat/>
    <w:rsid w:val="00FD1477"/>
    <w:rPr>
      <w:rFonts w:ascii="Times New Roman" w:eastAsia="宋体" w:hAnsi="Times New Roman" w:cs="Times New Roman" w:hint="eastAsia"/>
      <w:color w:val="000000"/>
      <w:sz w:val="24"/>
      <w:szCs w:val="22"/>
      <w:u w:val="none"/>
      <w:vertAlign w:val="baseline"/>
    </w:rPr>
  </w:style>
  <w:style w:type="paragraph" w:styleId="a6">
    <w:name w:val="Balloon Text"/>
    <w:basedOn w:val="a"/>
    <w:link w:val="Char0"/>
    <w:uiPriority w:val="99"/>
    <w:semiHidden/>
    <w:unhideWhenUsed/>
    <w:rsid w:val="00FD1477"/>
    <w:rPr>
      <w:sz w:val="18"/>
      <w:szCs w:val="18"/>
    </w:rPr>
  </w:style>
  <w:style w:type="character" w:customStyle="1" w:styleId="Char0">
    <w:name w:val="批注框文本 Char"/>
    <w:basedOn w:val="a0"/>
    <w:link w:val="a6"/>
    <w:uiPriority w:val="99"/>
    <w:semiHidden/>
    <w:rsid w:val="00FD147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oter" Target="footer1.xml"/><Relationship Id="rId5" Type="http://schemas.openxmlformats.org/officeDocument/2006/relationships/chart" Target="charts/chart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29992;&#25143;&#30446;&#24405;\&#25105;&#30340;&#25991;&#26723;\Tencent%20Files\952389726\FileRecv\&#27178;&#26495;&#26725;&#12289;&#23425;&#20065;&#35797;&#39564;&#25968;&#25454;(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9992;&#25143;&#30446;&#24405;\&#25105;&#30340;&#25991;&#26723;\Tencent%20Files\952389726\FileRecv\&#27178;&#26495;&#26725;&#12289;&#23425;&#20065;&#35797;&#39564;&#25968;&#25454;(1)(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9992;&#25143;&#30446;&#24405;\&#25105;&#30340;&#25991;&#26723;\Tencent%20Files\952389726\FileRecv\&#27178;&#26495;&#26725;&#12289;&#23425;&#20065;&#35797;&#39564;&#25968;&#25454;(1)(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9992;&#25143;&#30446;&#24405;\&#25105;&#30340;&#25991;&#26723;\Tencent%20Files\952389726\FileRecv\&#27178;&#26495;&#26725;&#12289;&#23425;&#20065;&#35797;&#39564;&#25968;&#25454;(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9.2431192660550512E-2"/>
          <c:y val="0.11866235167206"/>
          <c:w val="0.89714345287739805"/>
          <c:h val="0.67216828478964397"/>
        </c:manualLayout>
      </c:layout>
      <c:barChart>
        <c:barDir val="col"/>
        <c:grouping val="clustered"/>
        <c:ser>
          <c:idx val="0"/>
          <c:order val="0"/>
          <c:tx>
            <c:strRef>
              <c:f>'[横板桥、宁乡试验数据(1).xlsx]Sheet1'!$P$24</c:f>
              <c:strCache>
                <c:ptCount val="1"/>
                <c:pt idx="0">
                  <c:v>CK</c:v>
                </c:pt>
              </c:strCache>
            </c:strRef>
          </c:tx>
          <c:spPr>
            <a:pattFill prst="dashHorz">
              <a:fgClr>
                <a:srgbClr val="000000"/>
              </a:fgClr>
              <a:bgClr>
                <a:srgbClr val="FFFFFF"/>
              </a:bgClr>
            </a:pattFill>
            <a:ln>
              <a:solidFill>
                <a:srgbClr val="000000"/>
              </a:solidFill>
            </a:ln>
            <a:effectLst/>
          </c:spPr>
          <c:dLbls>
            <c:dLbl>
              <c:idx val="0"/>
              <c:tx>
                <c:rich>
                  <a:bodyPr/>
                  <a:lstStyle/>
                  <a:p>
                    <a:r>
                      <a:rPr lang="en-US" altLang="en-US"/>
                      <a:t>cC</a:t>
                    </a:r>
                    <a:r>
                      <a:rPr altLang="en-US"/>
                      <a:t> </a:t>
                    </a:r>
                  </a:p>
                </c:rich>
              </c:tx>
              <c:dLblPos val="outEnd"/>
              <c:showVal val="1"/>
              <c:extLst>
                <c:ext xmlns:c15="http://schemas.microsoft.com/office/drawing/2012/chart" uri="{CE6537A1-D6FC-4f65-9D91-7224C49458BB}"/>
              </c:extLst>
            </c:dLbl>
            <c:dLbl>
              <c:idx val="1"/>
              <c:tx>
                <c:rich>
                  <a:bodyPr/>
                  <a:lstStyle/>
                  <a:p>
                    <a:r>
                      <a:rPr lang="en-US" altLang="en-US"/>
                      <a:t>dC</a:t>
                    </a:r>
                    <a:r>
                      <a:rPr altLang="en-US"/>
                      <a:t>1 </a:t>
                    </a:r>
                  </a:p>
                </c:rich>
              </c:tx>
              <c:dLblPos val="outEnd"/>
              <c:showVal val="1"/>
              <c:extLst>
                <c:ext xmlns:c15="http://schemas.microsoft.com/office/drawing/2012/chart" uri="{CE6537A1-D6FC-4f65-9D91-7224C49458BB}"/>
              </c:extLst>
            </c:dLbl>
            <c:dLbl>
              <c:idx val="2"/>
              <c:tx>
                <c:rich>
                  <a:bodyPr/>
                  <a:lstStyle/>
                  <a:p>
                    <a:r>
                      <a:rPr lang="en-US" altLang="en-US"/>
                      <a:t>dD</a:t>
                    </a:r>
                    <a:r>
                      <a:rPr altLang="en-US"/>
                      <a:t> </a:t>
                    </a:r>
                  </a:p>
                </c:rich>
              </c:tx>
              <c:dLblPos val="outEnd"/>
              <c:showVal val="1"/>
              <c:extLst>
                <c:ext xmlns:c15="http://schemas.microsoft.com/office/drawing/2012/chart" uri="{CE6537A1-D6FC-4f65-9D91-7224C49458BB}"/>
              </c:extLst>
            </c:dLbl>
            <c:dLbl>
              <c:idx val="3"/>
              <c:tx>
                <c:rich>
                  <a:bodyPr/>
                  <a:lstStyle/>
                  <a:p>
                    <a:r>
                      <a:rPr lang="en-US" altLang="en-US"/>
                      <a:t>bB</a:t>
                    </a:r>
                    <a:r>
                      <a:rPr altLang="en-US"/>
                      <a:t> </a:t>
                    </a:r>
                  </a:p>
                </c:rich>
              </c:tx>
              <c:dLblPos val="outEnd"/>
              <c:showVal val="1"/>
              <c:extLst>
                <c:ext xmlns:c15="http://schemas.microsoft.com/office/drawing/2012/chart" uri="{CE6537A1-D6FC-4f65-9D91-7224C49458BB}"/>
              </c:extLst>
            </c:dLbl>
            <c:dLbl>
              <c:idx val="4"/>
              <c:tx>
                <c:rich>
                  <a:bodyPr/>
                  <a:lstStyle/>
                  <a:p>
                    <a:r>
                      <a:rPr lang="en-US" altLang="en-US"/>
                      <a:t>aA</a:t>
                    </a:r>
                    <a:r>
                      <a:rPr altLang="en-US"/>
                      <a:t> </a:t>
                    </a:r>
                  </a:p>
                </c:rich>
              </c:tx>
              <c:dLblPos val="outEnd"/>
              <c:showVal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rgbClr val="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errBars>
            <c:errBarType val="both"/>
            <c:errValType val="cust"/>
            <c:plus>
              <c:numRef>
                <c:f>'[横板桥、宁乡试验数据(1).xlsx]Sheet1'!$S$55:$W$55</c:f>
                <c:numCache>
                  <c:formatCode>General</c:formatCode>
                  <c:ptCount val="5"/>
                  <c:pt idx="0">
                    <c:v>4.3333000000000004</c:v>
                  </c:pt>
                  <c:pt idx="1">
                    <c:v>3.2145999999999999</c:v>
                  </c:pt>
                  <c:pt idx="2">
                    <c:v>6.3508999999999984</c:v>
                  </c:pt>
                  <c:pt idx="3">
                    <c:v>4.3333000000000004</c:v>
                  </c:pt>
                  <c:pt idx="4">
                    <c:v>5.1962000000000002</c:v>
                  </c:pt>
                </c:numCache>
              </c:numRef>
            </c:plus>
            <c:minus>
              <c:numRef>
                <c:f>'[横板桥、宁乡试验数据(1).xlsx]Sheet1'!$S$55:$W$55</c:f>
                <c:numCache>
                  <c:formatCode>General</c:formatCode>
                  <c:ptCount val="5"/>
                  <c:pt idx="0">
                    <c:v>4.3333000000000004</c:v>
                  </c:pt>
                  <c:pt idx="1">
                    <c:v>3.2145999999999999</c:v>
                  </c:pt>
                  <c:pt idx="2">
                    <c:v>6.3508999999999984</c:v>
                  </c:pt>
                  <c:pt idx="3">
                    <c:v>4.3333000000000004</c:v>
                  </c:pt>
                  <c:pt idx="4">
                    <c:v>5.1962000000000002</c:v>
                  </c:pt>
                </c:numCache>
              </c:numRef>
            </c:minus>
            <c:spPr>
              <a:ln w="19050" cap="flat" cmpd="sng" algn="ctr">
                <a:solidFill>
                  <a:sysClr val="windowText" lastClr="000000"/>
                </a:solidFill>
                <a:prstDash val="solid"/>
                <a:round/>
              </a:ln>
            </c:spPr>
          </c:errBars>
          <c:cat>
            <c:strRef>
              <c:f>'[横板桥、宁乡试验数据(1).xlsx]Sheet1'!$Q$23:$U$23</c:f>
              <c:strCache>
                <c:ptCount val="5"/>
                <c:pt idx="0">
                  <c:v>移栽期</c:v>
                </c:pt>
                <c:pt idx="1">
                  <c:v>团棵期</c:v>
                </c:pt>
                <c:pt idx="2">
                  <c:v>旺长期</c:v>
                </c:pt>
                <c:pt idx="3">
                  <c:v>打顶期</c:v>
                </c:pt>
                <c:pt idx="4">
                  <c:v>成熟期</c:v>
                </c:pt>
              </c:strCache>
            </c:strRef>
          </c:cat>
          <c:val>
            <c:numRef>
              <c:f>'[横板桥、宁乡试验数据(1).xlsx]Sheet1'!$Q$24:$U$24</c:f>
              <c:numCache>
                <c:formatCode>0_ </c:formatCode>
                <c:ptCount val="5"/>
                <c:pt idx="0">
                  <c:v>239.66666666666694</c:v>
                </c:pt>
                <c:pt idx="1">
                  <c:v>141</c:v>
                </c:pt>
                <c:pt idx="2">
                  <c:v>290</c:v>
                </c:pt>
                <c:pt idx="3">
                  <c:v>394.66666666666708</c:v>
                </c:pt>
                <c:pt idx="4">
                  <c:v>210</c:v>
                </c:pt>
              </c:numCache>
            </c:numRef>
          </c:val>
        </c:ser>
        <c:ser>
          <c:idx val="1"/>
          <c:order val="1"/>
          <c:tx>
            <c:strRef>
              <c:f>'[横板桥、宁乡试验数据(1).xlsx]Sheet1'!$P$25</c:f>
              <c:strCache>
                <c:ptCount val="1"/>
                <c:pt idx="0">
                  <c:v>处理1</c:v>
                </c:pt>
              </c:strCache>
            </c:strRef>
          </c:tx>
          <c:spPr>
            <a:pattFill prst="horzBrick">
              <a:fgClr>
                <a:srgbClr val="000000"/>
              </a:fgClr>
              <a:bgClr>
                <a:srgbClr val="FFFFFF"/>
              </a:bgClr>
            </a:pattFill>
            <a:ln>
              <a:solidFill>
                <a:srgbClr val="000000"/>
              </a:solidFill>
            </a:ln>
            <a:effectLst/>
          </c:spPr>
          <c:dLbls>
            <c:dLbl>
              <c:idx val="0"/>
              <c:tx>
                <c:rich>
                  <a:bodyPr/>
                  <a:lstStyle/>
                  <a:p>
                    <a:r>
                      <a:rPr lang="en-US" altLang="en-US"/>
                      <a:t>bB</a:t>
                    </a:r>
                    <a:endParaRPr altLang="en-US"/>
                  </a:p>
                </c:rich>
              </c:tx>
              <c:dLblPos val="outEnd"/>
              <c:showVal val="1"/>
              <c:extLst>
                <c:ext xmlns:c15="http://schemas.microsoft.com/office/drawing/2012/chart" uri="{CE6537A1-D6FC-4f65-9D91-7224C49458BB}"/>
              </c:extLst>
            </c:dLbl>
            <c:dLbl>
              <c:idx val="1"/>
              <c:tx>
                <c:rich>
                  <a:bodyPr/>
                  <a:lstStyle/>
                  <a:p>
                    <a:r>
                      <a:rPr lang="en-US" altLang="en-US"/>
                      <a:t>bB</a:t>
                    </a:r>
                    <a:endParaRPr altLang="en-US"/>
                  </a:p>
                </c:rich>
              </c:tx>
              <c:dLblPos val="outEnd"/>
              <c:showVal val="1"/>
              <c:extLst>
                <c:ext xmlns:c15="http://schemas.microsoft.com/office/drawing/2012/chart" uri="{CE6537A1-D6FC-4f65-9D91-7224C49458BB}"/>
              </c:extLst>
            </c:dLbl>
            <c:dLbl>
              <c:idx val="2"/>
              <c:tx>
                <c:rich>
                  <a:bodyPr/>
                  <a:lstStyle/>
                  <a:p>
                    <a:r>
                      <a:rPr lang="en-US" altLang="en-US"/>
                      <a:t>bB</a:t>
                    </a:r>
                    <a:r>
                      <a:rPr altLang="en-US"/>
                      <a:t> </a:t>
                    </a:r>
                  </a:p>
                </c:rich>
              </c:tx>
              <c:dLblPos val="outEnd"/>
              <c:showVal val="1"/>
              <c:extLst>
                <c:ext xmlns:c15="http://schemas.microsoft.com/office/drawing/2012/chart" uri="{CE6537A1-D6FC-4f65-9D91-7224C49458BB}"/>
              </c:extLst>
            </c:dLbl>
            <c:dLbl>
              <c:idx val="3"/>
              <c:tx>
                <c:rich>
                  <a:bodyPr/>
                  <a:lstStyle/>
                  <a:p>
                    <a:r>
                      <a:rPr lang="en-US" altLang="en-US"/>
                      <a:t>aA</a:t>
                    </a:r>
                    <a:endParaRPr altLang="en-US"/>
                  </a:p>
                </c:rich>
              </c:tx>
              <c:dLblPos val="outEnd"/>
              <c:showVal val="1"/>
              <c:extLst>
                <c:ext xmlns:c15="http://schemas.microsoft.com/office/drawing/2012/chart" uri="{CE6537A1-D6FC-4f65-9D91-7224C49458BB}"/>
              </c:extLst>
            </c:dLbl>
            <c:dLbl>
              <c:idx val="4"/>
              <c:tx>
                <c:rich>
                  <a:bodyPr/>
                  <a:lstStyle/>
                  <a:p>
                    <a:r>
                      <a:rPr lang="en-US" altLang="en-US"/>
                      <a:t>bB</a:t>
                    </a:r>
                    <a:endParaRPr altLang="en-US"/>
                  </a:p>
                </c:rich>
              </c:tx>
              <c:dLblPos val="outEnd"/>
              <c:showVal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rgbClr val="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errBars>
            <c:errBarType val="both"/>
            <c:errValType val="cust"/>
            <c:plus>
              <c:numRef>
                <c:f>'[横板桥、宁乡试验数据(1).xlsx]Sheet1'!$S$56:$W$56</c:f>
                <c:numCache>
                  <c:formatCode>General</c:formatCode>
                  <c:ptCount val="5"/>
                  <c:pt idx="0">
                    <c:v>2.3093999999999997</c:v>
                  </c:pt>
                  <c:pt idx="1">
                    <c:v>2.4037000000000002</c:v>
                  </c:pt>
                  <c:pt idx="2">
                    <c:v>5.7831000000000001</c:v>
                  </c:pt>
                  <c:pt idx="3">
                    <c:v>2.3093999999999997</c:v>
                  </c:pt>
                  <c:pt idx="4">
                    <c:v>6.4291</c:v>
                  </c:pt>
                </c:numCache>
              </c:numRef>
            </c:plus>
            <c:minus>
              <c:numRef>
                <c:f>'[横板桥、宁乡试验数据(1).xlsx]Sheet1'!$S$56:$W$56</c:f>
                <c:numCache>
                  <c:formatCode>General</c:formatCode>
                  <c:ptCount val="5"/>
                  <c:pt idx="0">
                    <c:v>2.3093999999999997</c:v>
                  </c:pt>
                  <c:pt idx="1">
                    <c:v>2.4037000000000002</c:v>
                  </c:pt>
                  <c:pt idx="2">
                    <c:v>5.7831000000000001</c:v>
                  </c:pt>
                  <c:pt idx="3">
                    <c:v>2.3093999999999997</c:v>
                  </c:pt>
                  <c:pt idx="4">
                    <c:v>6.4291</c:v>
                  </c:pt>
                </c:numCache>
              </c:numRef>
            </c:minus>
            <c:spPr>
              <a:ln w="19050" cap="flat" cmpd="sng" algn="ctr">
                <a:solidFill>
                  <a:sysClr val="windowText" lastClr="000000"/>
                </a:solidFill>
                <a:prstDash val="solid"/>
                <a:round/>
              </a:ln>
            </c:spPr>
          </c:errBars>
          <c:cat>
            <c:strRef>
              <c:f>'[横板桥、宁乡试验数据(1).xlsx]Sheet1'!$Q$23:$U$23</c:f>
              <c:strCache>
                <c:ptCount val="5"/>
                <c:pt idx="0">
                  <c:v>移栽期</c:v>
                </c:pt>
                <c:pt idx="1">
                  <c:v>团棵期</c:v>
                </c:pt>
                <c:pt idx="2">
                  <c:v>旺长期</c:v>
                </c:pt>
                <c:pt idx="3">
                  <c:v>打顶期</c:v>
                </c:pt>
                <c:pt idx="4">
                  <c:v>成熟期</c:v>
                </c:pt>
              </c:strCache>
            </c:strRef>
          </c:cat>
          <c:val>
            <c:numRef>
              <c:f>'[横板桥、宁乡试验数据(1).xlsx]Sheet1'!$Q$25:$U$25</c:f>
              <c:numCache>
                <c:formatCode>0_ </c:formatCode>
                <c:ptCount val="5"/>
                <c:pt idx="0">
                  <c:v>283</c:v>
                </c:pt>
                <c:pt idx="1">
                  <c:v>191.66666666666694</c:v>
                </c:pt>
                <c:pt idx="2">
                  <c:v>363.33333333333309</c:v>
                </c:pt>
                <c:pt idx="3">
                  <c:v>425.66666666666708</c:v>
                </c:pt>
                <c:pt idx="4">
                  <c:v>185</c:v>
                </c:pt>
              </c:numCache>
            </c:numRef>
          </c:val>
        </c:ser>
        <c:ser>
          <c:idx val="2"/>
          <c:order val="2"/>
          <c:tx>
            <c:strRef>
              <c:f>'[横板桥、宁乡试验数据(1).xlsx]Sheet1'!$P$26</c:f>
              <c:strCache>
                <c:ptCount val="1"/>
                <c:pt idx="0">
                  <c:v>处理2</c:v>
                </c:pt>
              </c:strCache>
            </c:strRef>
          </c:tx>
          <c:spPr>
            <a:pattFill prst="diagBrick">
              <a:fgClr>
                <a:srgbClr val="000000"/>
              </a:fgClr>
              <a:bgClr>
                <a:srgbClr val="FFFFFF"/>
              </a:bgClr>
            </a:pattFill>
            <a:ln>
              <a:solidFill>
                <a:srgbClr val="000000"/>
              </a:solidFill>
            </a:ln>
            <a:effectLst/>
          </c:spPr>
          <c:dLbls>
            <c:dLbl>
              <c:idx val="0"/>
              <c:tx>
                <c:rich>
                  <a:bodyPr/>
                  <a:lstStyle/>
                  <a:p>
                    <a:r>
                      <a:rPr lang="en-US" altLang="en-US"/>
                      <a:t>cC</a:t>
                    </a:r>
                    <a:r>
                      <a:rPr altLang="en-US"/>
                      <a:t> </a:t>
                    </a:r>
                  </a:p>
                </c:rich>
              </c:tx>
              <c:dLblPos val="outEnd"/>
              <c:showVal val="1"/>
              <c:extLst>
                <c:ext xmlns:c15="http://schemas.microsoft.com/office/drawing/2012/chart" uri="{CE6537A1-D6FC-4f65-9D91-7224C49458BB}"/>
              </c:extLst>
            </c:dLbl>
            <c:dLbl>
              <c:idx val="1"/>
              <c:tx>
                <c:rich>
                  <a:bodyPr/>
                  <a:lstStyle/>
                  <a:p>
                    <a:r>
                      <a:rPr lang="en-US" altLang="en-US"/>
                      <a:t>cC</a:t>
                    </a:r>
                    <a:endParaRPr altLang="en-US"/>
                  </a:p>
                </c:rich>
              </c:tx>
              <c:dLblPos val="outEnd"/>
              <c:showVal val="1"/>
              <c:extLst>
                <c:ext xmlns:c15="http://schemas.microsoft.com/office/drawing/2012/chart" uri="{CE6537A1-D6FC-4f65-9D91-7224C49458BB}"/>
              </c:extLst>
            </c:dLbl>
            <c:dLbl>
              <c:idx val="2"/>
              <c:tx>
                <c:rich>
                  <a:bodyPr/>
                  <a:lstStyle/>
                  <a:p>
                    <a:r>
                      <a:rPr lang="en-US" altLang="en-US"/>
                      <a:t>cC</a:t>
                    </a:r>
                    <a:endParaRPr altLang="en-US"/>
                  </a:p>
                </c:rich>
              </c:tx>
              <c:dLblPos val="outEnd"/>
              <c:showVal val="1"/>
              <c:extLst>
                <c:ext xmlns:c15="http://schemas.microsoft.com/office/drawing/2012/chart" uri="{CE6537A1-D6FC-4f65-9D91-7224C49458BB}"/>
              </c:extLst>
            </c:dLbl>
            <c:dLbl>
              <c:idx val="3"/>
              <c:tx>
                <c:rich>
                  <a:bodyPr/>
                  <a:lstStyle/>
                  <a:p>
                    <a:r>
                      <a:rPr lang="en-US" altLang="en-US"/>
                      <a:t>bB</a:t>
                    </a:r>
                    <a:endParaRPr altLang="en-US"/>
                  </a:p>
                </c:rich>
              </c:tx>
              <c:dLblPos val="outEnd"/>
              <c:showVal val="1"/>
              <c:extLst>
                <c:ext xmlns:c15="http://schemas.microsoft.com/office/drawing/2012/chart" uri="{CE6537A1-D6FC-4f65-9D91-7224C49458BB}"/>
              </c:extLst>
            </c:dLbl>
            <c:dLbl>
              <c:idx val="4"/>
              <c:tx>
                <c:rich>
                  <a:bodyPr/>
                  <a:lstStyle/>
                  <a:p>
                    <a:r>
                      <a:rPr lang="en-US" altLang="en-US"/>
                      <a:t>aA</a:t>
                    </a:r>
                    <a:r>
                      <a:rPr altLang="en-US"/>
                      <a:t> </a:t>
                    </a:r>
                  </a:p>
                </c:rich>
              </c:tx>
              <c:dLblPos val="outEnd"/>
              <c:showVal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rgbClr val="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errBars>
            <c:errBarType val="both"/>
            <c:errValType val="cust"/>
            <c:plus>
              <c:numRef>
                <c:f>'[横板桥、宁乡试验数据(1).xlsx]Sheet1'!$S$57:$W$57</c:f>
                <c:numCache>
                  <c:formatCode>General</c:formatCode>
                  <c:ptCount val="5"/>
                  <c:pt idx="0">
                    <c:v>3.7859000000000007</c:v>
                  </c:pt>
                  <c:pt idx="1">
                    <c:v>6.9362000000000021</c:v>
                  </c:pt>
                  <c:pt idx="2">
                    <c:v>5.6074999999999982</c:v>
                  </c:pt>
                  <c:pt idx="3">
                    <c:v>3.7859000000000007</c:v>
                  </c:pt>
                  <c:pt idx="4">
                    <c:v>5.1962000000000002</c:v>
                  </c:pt>
                </c:numCache>
              </c:numRef>
            </c:plus>
            <c:minus>
              <c:numRef>
                <c:f>'[横板桥、宁乡试验数据(1).xlsx]Sheet1'!$S$57:$W$57</c:f>
                <c:numCache>
                  <c:formatCode>General</c:formatCode>
                  <c:ptCount val="5"/>
                  <c:pt idx="0">
                    <c:v>3.7859000000000007</c:v>
                  </c:pt>
                  <c:pt idx="1">
                    <c:v>6.9362000000000021</c:v>
                  </c:pt>
                  <c:pt idx="2">
                    <c:v>5.6074999999999982</c:v>
                  </c:pt>
                  <c:pt idx="3">
                    <c:v>3.7859000000000007</c:v>
                  </c:pt>
                  <c:pt idx="4">
                    <c:v>5.1962000000000002</c:v>
                  </c:pt>
                </c:numCache>
              </c:numRef>
            </c:minus>
            <c:spPr>
              <a:ln w="19050" cap="flat" cmpd="sng" algn="ctr">
                <a:solidFill>
                  <a:sysClr val="windowText" lastClr="000000"/>
                </a:solidFill>
                <a:prstDash val="solid"/>
                <a:round/>
              </a:ln>
            </c:spPr>
          </c:errBars>
          <c:cat>
            <c:strRef>
              <c:f>'[横板桥、宁乡试验数据(1).xlsx]Sheet1'!$Q$23:$U$23</c:f>
              <c:strCache>
                <c:ptCount val="5"/>
                <c:pt idx="0">
                  <c:v>移栽期</c:v>
                </c:pt>
                <c:pt idx="1">
                  <c:v>团棵期</c:v>
                </c:pt>
                <c:pt idx="2">
                  <c:v>旺长期</c:v>
                </c:pt>
                <c:pt idx="3">
                  <c:v>打顶期</c:v>
                </c:pt>
                <c:pt idx="4">
                  <c:v>成熟期</c:v>
                </c:pt>
              </c:strCache>
            </c:strRef>
          </c:cat>
          <c:val>
            <c:numRef>
              <c:f>'[横板桥、宁乡试验数据(1).xlsx]Sheet1'!$Q$26:$U$26</c:f>
              <c:numCache>
                <c:formatCode>0_ </c:formatCode>
                <c:ptCount val="5"/>
                <c:pt idx="0">
                  <c:v>252</c:v>
                </c:pt>
                <c:pt idx="1">
                  <c:v>160.66666666666694</c:v>
                </c:pt>
                <c:pt idx="2">
                  <c:v>326.33333333333309</c:v>
                </c:pt>
                <c:pt idx="3">
                  <c:v>395.33333333333309</c:v>
                </c:pt>
                <c:pt idx="4">
                  <c:v>216</c:v>
                </c:pt>
              </c:numCache>
            </c:numRef>
          </c:val>
        </c:ser>
        <c:ser>
          <c:idx val="3"/>
          <c:order val="3"/>
          <c:tx>
            <c:strRef>
              <c:f>'[横板桥、宁乡试验数据(1).xlsx]Sheet1'!$P$27</c:f>
              <c:strCache>
                <c:ptCount val="1"/>
                <c:pt idx="0">
                  <c:v>处理3</c:v>
                </c:pt>
              </c:strCache>
            </c:strRef>
          </c:tx>
          <c:spPr>
            <a:pattFill prst="dashVert">
              <a:fgClr>
                <a:srgbClr val="000000"/>
              </a:fgClr>
              <a:bgClr>
                <a:srgbClr val="FFFFFF"/>
              </a:bgClr>
            </a:pattFill>
            <a:ln>
              <a:solidFill>
                <a:srgbClr val="000000"/>
              </a:solidFill>
            </a:ln>
            <a:effectLst/>
          </c:spPr>
          <c:dLbls>
            <c:dLbl>
              <c:idx val="0"/>
              <c:tx>
                <c:rich>
                  <a:bodyPr/>
                  <a:lstStyle/>
                  <a:p>
                    <a:r>
                      <a:rPr lang="en-US" altLang="en-US"/>
                      <a:t>aA</a:t>
                    </a:r>
                    <a:endParaRPr altLang="en-US"/>
                  </a:p>
                </c:rich>
              </c:tx>
              <c:dLblPos val="outEnd"/>
              <c:showVal val="1"/>
              <c:extLst>
                <c:ext xmlns:c15="http://schemas.microsoft.com/office/drawing/2012/chart" uri="{CE6537A1-D6FC-4f65-9D91-7224C49458BB}"/>
              </c:extLst>
            </c:dLbl>
            <c:dLbl>
              <c:idx val="1"/>
              <c:tx>
                <c:rich>
                  <a:bodyPr/>
                  <a:lstStyle/>
                  <a:p>
                    <a:r>
                      <a:rPr lang="en-US" altLang="en-US"/>
                      <a:t>aA</a:t>
                    </a:r>
                    <a:endParaRPr altLang="en-US"/>
                  </a:p>
                </c:rich>
              </c:tx>
              <c:dLblPos val="outEnd"/>
              <c:showVal val="1"/>
              <c:extLst>
                <c:ext xmlns:c15="http://schemas.microsoft.com/office/drawing/2012/chart" uri="{CE6537A1-D6FC-4f65-9D91-7224C49458BB}"/>
              </c:extLst>
            </c:dLbl>
            <c:dLbl>
              <c:idx val="2"/>
              <c:tx>
                <c:rich>
                  <a:bodyPr/>
                  <a:lstStyle/>
                  <a:p>
                    <a:r>
                      <a:rPr lang="en-US" altLang="en-US"/>
                      <a:t>aA</a:t>
                    </a:r>
                    <a:r>
                      <a:rPr altLang="en-US"/>
                      <a:t> </a:t>
                    </a:r>
                  </a:p>
                </c:rich>
              </c:tx>
              <c:dLblPos val="outEnd"/>
              <c:showVal val="1"/>
              <c:extLst>
                <c:ext xmlns:c15="http://schemas.microsoft.com/office/drawing/2012/chart" uri="{CE6537A1-D6FC-4f65-9D91-7224C49458BB}"/>
              </c:extLst>
            </c:dLbl>
            <c:dLbl>
              <c:idx val="3"/>
              <c:tx>
                <c:rich>
                  <a:bodyPr/>
                  <a:lstStyle/>
                  <a:p>
                    <a:r>
                      <a:rPr lang="en-US" altLang="en-US"/>
                      <a:t>aA</a:t>
                    </a:r>
                    <a:r>
                      <a:rPr altLang="en-US"/>
                      <a:t> </a:t>
                    </a:r>
                  </a:p>
                </c:rich>
              </c:tx>
              <c:dLblPos val="outEnd"/>
              <c:showVal val="1"/>
              <c:extLst>
                <c:ext xmlns:c15="http://schemas.microsoft.com/office/drawing/2012/chart" uri="{CE6537A1-D6FC-4f65-9D91-7224C49458BB}"/>
              </c:extLst>
            </c:dLbl>
            <c:dLbl>
              <c:idx val="4"/>
              <c:layout>
                <c:manualLayout>
                  <c:x val="6.2163282221301321E-3"/>
                  <c:y val="-4.9442075370951485E-17"/>
                </c:manualLayout>
              </c:layout>
              <c:tx>
                <c:rich>
                  <a:bodyPr/>
                  <a:lstStyle/>
                  <a:p>
                    <a:r>
                      <a:rPr lang="en-US" altLang="en-US"/>
                      <a:t>bAB</a:t>
                    </a:r>
                    <a:endParaRPr altLang="en-US"/>
                  </a:p>
                </c:rich>
              </c:tx>
              <c:dLblPos val="outEnd"/>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rgbClr val="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errBars>
            <c:errBarType val="both"/>
            <c:errValType val="cust"/>
            <c:plus>
              <c:numRef>
                <c:f>'[横板桥、宁乡试验数据(1).xlsx]Sheet1'!$S$58:$W$58</c:f>
                <c:numCache>
                  <c:formatCode>General</c:formatCode>
                  <c:ptCount val="5"/>
                  <c:pt idx="0">
                    <c:v>7.2187999999999999</c:v>
                  </c:pt>
                  <c:pt idx="1">
                    <c:v>5.7831000000000001</c:v>
                  </c:pt>
                  <c:pt idx="2">
                    <c:v>6.5658999999999983</c:v>
                  </c:pt>
                  <c:pt idx="3">
                    <c:v>7.2187999999999999</c:v>
                  </c:pt>
                  <c:pt idx="4">
                    <c:v>1.4529999999999996</c:v>
                  </c:pt>
                </c:numCache>
              </c:numRef>
            </c:plus>
            <c:minus>
              <c:numRef>
                <c:f>'[横板桥、宁乡试验数据(1).xlsx]Sheet1'!$S$58:$W$58</c:f>
                <c:numCache>
                  <c:formatCode>General</c:formatCode>
                  <c:ptCount val="5"/>
                  <c:pt idx="0">
                    <c:v>7.2187999999999999</c:v>
                  </c:pt>
                  <c:pt idx="1">
                    <c:v>5.7831000000000001</c:v>
                  </c:pt>
                  <c:pt idx="2">
                    <c:v>6.5658999999999983</c:v>
                  </c:pt>
                  <c:pt idx="3">
                    <c:v>7.2187999999999999</c:v>
                  </c:pt>
                  <c:pt idx="4">
                    <c:v>1.4529999999999996</c:v>
                  </c:pt>
                </c:numCache>
              </c:numRef>
            </c:minus>
            <c:spPr>
              <a:ln w="19050" cap="flat" cmpd="sng" algn="ctr">
                <a:solidFill>
                  <a:sysClr val="windowText" lastClr="000000"/>
                </a:solidFill>
                <a:prstDash val="solid"/>
                <a:round/>
              </a:ln>
            </c:spPr>
          </c:errBars>
          <c:cat>
            <c:strRef>
              <c:f>'[横板桥、宁乡试验数据(1).xlsx]Sheet1'!$Q$23:$U$23</c:f>
              <c:strCache>
                <c:ptCount val="5"/>
                <c:pt idx="0">
                  <c:v>移栽期</c:v>
                </c:pt>
                <c:pt idx="1">
                  <c:v>团棵期</c:v>
                </c:pt>
                <c:pt idx="2">
                  <c:v>旺长期</c:v>
                </c:pt>
                <c:pt idx="3">
                  <c:v>打顶期</c:v>
                </c:pt>
                <c:pt idx="4">
                  <c:v>成熟期</c:v>
                </c:pt>
              </c:strCache>
            </c:strRef>
          </c:cat>
          <c:val>
            <c:numRef>
              <c:f>'[横板桥、宁乡试验数据(1).xlsx]Sheet1'!$Q$27:$U$27</c:f>
              <c:numCache>
                <c:formatCode>0_ </c:formatCode>
                <c:ptCount val="5"/>
                <c:pt idx="0">
                  <c:v>317.66666666666708</c:v>
                </c:pt>
                <c:pt idx="1">
                  <c:v>239.33333333333306</c:v>
                </c:pt>
                <c:pt idx="2">
                  <c:v>395.33333333333309</c:v>
                </c:pt>
                <c:pt idx="3">
                  <c:v>432</c:v>
                </c:pt>
                <c:pt idx="4">
                  <c:v>192.66666666666694</c:v>
                </c:pt>
              </c:numCache>
            </c:numRef>
          </c:val>
        </c:ser>
        <c:gapWidth val="300"/>
        <c:axId val="254961920"/>
        <c:axId val="254988672"/>
      </c:barChart>
      <c:catAx>
        <c:axId val="254961920"/>
        <c:scaling>
          <c:orientation val="minMax"/>
        </c:scaling>
        <c:axPos val="b"/>
        <c:title>
          <c:tx>
            <c:rich>
              <a:bodyPr rot="0" spcFirstLastPara="0" vertOverflow="ellipsis" vert="horz" wrap="square" anchor="ctr" anchorCtr="1"/>
              <a:lstStyle/>
              <a:p>
                <a:pPr>
                  <a:defRPr lang="zh-CN" sz="1000" b="1" i="0" u="none" strike="noStrike" kern="1200" baseline="0">
                    <a:solidFill>
                      <a:srgbClr val="000000"/>
                    </a:solidFill>
                    <a:latin typeface="+mn-lt"/>
                    <a:ea typeface="+mn-ea"/>
                    <a:cs typeface="+mn-cs"/>
                  </a:defRPr>
                </a:pPr>
                <a:r>
                  <a:t>烤烟大田生育期</a:t>
                </a:r>
              </a:p>
            </c:rich>
          </c:tx>
          <c:spPr>
            <a:noFill/>
            <a:ln>
              <a:noFill/>
            </a:ln>
            <a:effectLst/>
          </c:spPr>
        </c:title>
        <c:majorTickMark val="none"/>
        <c:tickLblPos val="nextTo"/>
        <c:spPr>
          <a:noFill/>
          <a:ln w="19050" cap="flat" cmpd="sng" algn="ctr">
            <a:solidFill>
              <a:srgbClr val="000000"/>
            </a:solidFill>
            <a:prstDash val="solid"/>
            <a:round/>
          </a:ln>
          <a:effectLst/>
        </c:spPr>
        <c:txPr>
          <a:bodyPr rot="-60000000" spcFirstLastPara="0" vertOverflow="ellipsis" vert="horz" wrap="square" anchor="ctr" anchorCtr="1"/>
          <a:lstStyle/>
          <a:p>
            <a:pPr>
              <a:defRPr lang="zh-CN" sz="1000" b="1" i="0" u="none" strike="noStrike" kern="1200" baseline="0">
                <a:solidFill>
                  <a:srgbClr val="000000"/>
                </a:solidFill>
                <a:latin typeface="+mn-lt"/>
                <a:ea typeface="+mn-ea"/>
                <a:cs typeface="+mn-cs"/>
              </a:defRPr>
            </a:pPr>
            <a:endParaRPr lang="zh-CN"/>
          </a:p>
        </c:txPr>
        <c:crossAx val="254988672"/>
        <c:crosses val="autoZero"/>
        <c:auto val="1"/>
        <c:lblAlgn val="ctr"/>
        <c:lblOffset val="100"/>
      </c:catAx>
      <c:valAx>
        <c:axId val="254988672"/>
        <c:scaling>
          <c:orientation val="minMax"/>
          <c:max val="500"/>
          <c:min val="0"/>
        </c:scaling>
        <c:axPos val="l"/>
        <c:title>
          <c:tx>
            <c:rich>
              <a:bodyPr rot="-5400000" spcFirstLastPara="0" vertOverflow="ellipsis" vert="horz" wrap="square" anchor="ctr" anchorCtr="1"/>
              <a:lstStyle/>
              <a:p>
                <a:pPr>
                  <a:defRPr lang="zh-CN" sz="1000" b="1" i="0" u="none" strike="noStrike" kern="1200" baseline="0">
                    <a:solidFill>
                      <a:srgbClr val="000000"/>
                    </a:solidFill>
                    <a:latin typeface="+mn-lt"/>
                    <a:ea typeface="+mn-ea"/>
                    <a:cs typeface="+mn-cs"/>
                  </a:defRPr>
                </a:pPr>
                <a:r>
                  <a:rPr lang="en-US"/>
                  <a:t>SOD//(U·g</a:t>
                </a:r>
                <a:r>
                  <a:rPr lang="en-US" baseline="30000">
                    <a:solidFill>
                      <a:srgbClr val="000000"/>
                    </a:solidFill>
                    <a:uFillTx/>
                  </a:rPr>
                  <a:t>-1</a:t>
                </a:r>
                <a:r>
                  <a:rPr lang="en-US"/>
                  <a:t>·FW·min</a:t>
                </a:r>
                <a:r>
                  <a:rPr lang="en-US" baseline="30000">
                    <a:solidFill>
                      <a:srgbClr val="000000"/>
                    </a:solidFill>
                    <a:uFillTx/>
                  </a:rPr>
                  <a:t>-1</a:t>
                </a:r>
                <a:r>
                  <a:rPr lang="en-US"/>
                  <a:t>)</a:t>
                </a:r>
              </a:p>
            </c:rich>
          </c:tx>
          <c:spPr>
            <a:noFill/>
            <a:ln>
              <a:noFill/>
            </a:ln>
            <a:effectLst/>
          </c:spPr>
        </c:title>
        <c:numFmt formatCode="0_ " sourceLinked="1"/>
        <c:majorTickMark val="in"/>
        <c:tickLblPos val="nextTo"/>
        <c:spPr>
          <a:noFill/>
          <a:ln w="19050" cap="flat" cmpd="sng" algn="ctr">
            <a:solidFill>
              <a:srgbClr val="000000"/>
            </a:solidFill>
            <a:prstDash val="solid"/>
            <a:round/>
          </a:ln>
          <a:effectLst/>
        </c:spPr>
        <c:txPr>
          <a:bodyPr rot="-60000000" spcFirstLastPara="0" vertOverflow="ellipsis" vert="horz" wrap="square" anchor="ctr" anchorCtr="1"/>
          <a:lstStyle/>
          <a:p>
            <a:pPr>
              <a:defRPr lang="zh-CN" sz="1000" b="1" i="0" u="none" strike="noStrike" kern="1200" baseline="0">
                <a:solidFill>
                  <a:srgbClr val="000000"/>
                </a:solidFill>
                <a:latin typeface="+mn-lt"/>
                <a:ea typeface="+mn-ea"/>
                <a:cs typeface="+mn-cs"/>
              </a:defRPr>
            </a:pPr>
            <a:endParaRPr lang="zh-CN"/>
          </a:p>
        </c:txPr>
        <c:crossAx val="254961920"/>
        <c:crosses val="autoZero"/>
        <c:crossBetween val="between"/>
        <c:majorUnit val="50"/>
      </c:valAx>
      <c:spPr>
        <a:noFill/>
        <a:ln>
          <a:solidFill>
            <a:srgbClr val="FFFFFF"/>
          </a:solidFill>
        </a:ln>
        <a:effectLst/>
      </c:spPr>
    </c:plotArea>
    <c:legend>
      <c:legendPos val="r"/>
      <c:layout>
        <c:manualLayout>
          <c:xMode val="edge"/>
          <c:yMode val="edge"/>
          <c:x val="9.560050041701422E-2"/>
          <c:y val="2.4271844660194216E-2"/>
          <c:w val="0.86791075896580505"/>
          <c:h val="0.10113268608414203"/>
        </c:manualLayout>
      </c:layout>
      <c:spPr>
        <a:noFill/>
        <a:ln>
          <a:noFill/>
        </a:ln>
        <a:effectLst/>
      </c:spPr>
      <c:txPr>
        <a:bodyPr rot="0" spcFirstLastPara="0" vertOverflow="ellipsis" vert="horz" wrap="square" anchor="ctr" anchorCtr="1"/>
        <a:lstStyle/>
        <a:p>
          <a:pPr>
            <a:defRPr lang="zh-CN" sz="1000" b="1" i="0" u="none" strike="noStrike" kern="1200" baseline="0">
              <a:solidFill>
                <a:srgbClr val="000000"/>
              </a:solidFill>
              <a:latin typeface="+mn-lt"/>
              <a:ea typeface="+mn-ea"/>
              <a:cs typeface="+mn-cs"/>
            </a:defRPr>
          </a:pPr>
          <a:endParaRPr lang="zh-CN"/>
        </a:p>
      </c:txPr>
    </c:legend>
    <c:plotVisOnly val="1"/>
    <c:dispBlanksAs val="gap"/>
  </c:chart>
  <c:spPr>
    <a:solidFill>
      <a:sysClr val="window" lastClr="FFFFFF"/>
    </a:solidFill>
    <a:ln w="9525" cap="flat" cmpd="sng" algn="ctr">
      <a:solidFill>
        <a:srgbClr val="D9D9D9">
          <a:lumMod val="15000"/>
          <a:lumOff val="85000"/>
        </a:srgbClr>
      </a:solidFill>
      <a:prstDash val="solid"/>
      <a:round/>
    </a:ln>
    <a:effectLst/>
  </c:spPr>
  <c:txPr>
    <a:bodyPr/>
    <a:lstStyle/>
    <a:p>
      <a:pPr>
        <a:defRPr lang="zh-CN" b="1" i="0" baseline="0"/>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17549780414391"/>
          <c:y val="0.10348130027435902"/>
          <c:w val="0.86180565025426425"/>
          <c:h val="0.6923837796974408"/>
        </c:manualLayout>
      </c:layout>
      <c:barChart>
        <c:barDir val="col"/>
        <c:grouping val="clustered"/>
        <c:ser>
          <c:idx val="0"/>
          <c:order val="0"/>
          <c:tx>
            <c:strRef>
              <c:f>'[横板桥、宁乡试验数据(1)(1).xlsx]Sheet2'!$A$4</c:f>
              <c:strCache>
                <c:ptCount val="1"/>
                <c:pt idx="0">
                  <c:v>CK</c:v>
                </c:pt>
              </c:strCache>
            </c:strRef>
          </c:tx>
          <c:spPr>
            <a:pattFill prst="dashHorz">
              <a:fgClr>
                <a:srgbClr val="000000"/>
              </a:fgClr>
              <a:bgClr>
                <a:srgbClr val="FFFFFF"/>
              </a:bgClr>
            </a:pattFill>
            <a:ln>
              <a:solidFill>
                <a:srgbClr val="000000"/>
              </a:solidFill>
            </a:ln>
            <a:effectLst/>
          </c:spPr>
          <c:dLbls>
            <c:dLbl>
              <c:idx val="0"/>
              <c:tx>
                <c:rich>
                  <a:bodyPr/>
                  <a:lstStyle/>
                  <a:p>
                    <a:r>
                      <a:rPr lang="en-US" altLang="en-US"/>
                      <a:t>bB</a:t>
                    </a:r>
                    <a:r>
                      <a:rPr altLang="en-US"/>
                      <a:t> </a:t>
                    </a:r>
                  </a:p>
                </c:rich>
              </c:tx>
              <c:dLblPos val="outEnd"/>
              <c:showVal val="1"/>
              <c:extLst>
                <c:ext xmlns:c15="http://schemas.microsoft.com/office/drawing/2012/chart" uri="{CE6537A1-D6FC-4f65-9D91-7224C49458BB}"/>
              </c:extLst>
            </c:dLbl>
            <c:dLbl>
              <c:idx val="1"/>
              <c:tx>
                <c:rich>
                  <a:bodyPr/>
                  <a:lstStyle/>
                  <a:p>
                    <a:r>
                      <a:rPr lang="en-US" altLang="en-US"/>
                      <a:t>bB</a:t>
                    </a:r>
                    <a:r>
                      <a:rPr altLang="en-US"/>
                      <a:t> </a:t>
                    </a:r>
                  </a:p>
                </c:rich>
              </c:tx>
              <c:dLblPos val="outEnd"/>
              <c:showVal val="1"/>
              <c:extLst>
                <c:ext xmlns:c15="http://schemas.microsoft.com/office/drawing/2012/chart" uri="{CE6537A1-D6FC-4f65-9D91-7224C49458BB}"/>
              </c:extLst>
            </c:dLbl>
            <c:dLbl>
              <c:idx val="2"/>
              <c:tx>
                <c:rich>
                  <a:bodyPr/>
                  <a:lstStyle/>
                  <a:p>
                    <a:r>
                      <a:rPr lang="en-US" altLang="en-US"/>
                      <a:t>bB</a:t>
                    </a:r>
                    <a:r>
                      <a:rPr altLang="en-US"/>
                      <a:t> </a:t>
                    </a:r>
                  </a:p>
                </c:rich>
              </c:tx>
              <c:dLblPos val="outEnd"/>
              <c:showVal val="1"/>
              <c:extLst>
                <c:ext xmlns:c15="http://schemas.microsoft.com/office/drawing/2012/chart" uri="{CE6537A1-D6FC-4f65-9D91-7224C49458BB}"/>
              </c:extLst>
            </c:dLbl>
            <c:dLbl>
              <c:idx val="3"/>
              <c:tx>
                <c:rich>
                  <a:bodyPr/>
                  <a:lstStyle/>
                  <a:p>
                    <a:r>
                      <a:rPr lang="en-US" altLang="en-US"/>
                      <a:t>bB</a:t>
                    </a:r>
                    <a:r>
                      <a:rPr altLang="en-US"/>
                      <a:t> </a:t>
                    </a:r>
                  </a:p>
                </c:rich>
              </c:tx>
              <c:dLblPos val="outEnd"/>
              <c:showVal val="1"/>
              <c:extLst>
                <c:ext xmlns:c15="http://schemas.microsoft.com/office/drawing/2012/chart" uri="{CE6537A1-D6FC-4f65-9D91-7224C49458BB}"/>
              </c:extLst>
            </c:dLbl>
            <c:dLbl>
              <c:idx val="4"/>
              <c:tx>
                <c:rich>
                  <a:bodyPr/>
                  <a:lstStyle/>
                  <a:p>
                    <a:r>
                      <a:rPr lang="en-US" altLang="en-US"/>
                      <a:t>bB</a:t>
                    </a:r>
                    <a:r>
                      <a:rPr altLang="en-US"/>
                      <a:t> </a:t>
                    </a:r>
                  </a:p>
                </c:rich>
              </c:tx>
              <c:dLblPos val="outEnd"/>
              <c:showVal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rgbClr val="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errBars>
            <c:errBarType val="both"/>
            <c:errValType val="cust"/>
            <c:plus>
              <c:numRef>
                <c:f>'[横板桥、宁乡试验数据(1)(1).xlsx]Sheet2'!$B$32:$F$32</c:f>
                <c:numCache>
                  <c:formatCode>General</c:formatCode>
                  <c:ptCount val="5"/>
                  <c:pt idx="0">
                    <c:v>5.3333000000000004</c:v>
                  </c:pt>
                  <c:pt idx="1">
                    <c:v>4.214599999999999</c:v>
                  </c:pt>
                  <c:pt idx="2">
                    <c:v>7.3508999999999984</c:v>
                  </c:pt>
                  <c:pt idx="3">
                    <c:v>5.3333000000000004</c:v>
                  </c:pt>
                  <c:pt idx="4">
                    <c:v>6.1962000000000002</c:v>
                  </c:pt>
                </c:numCache>
              </c:numRef>
            </c:plus>
            <c:minus>
              <c:numRef>
                <c:f>'[横板桥、宁乡试验数据(1)(1).xlsx]Sheet2'!$B$32:$F$32</c:f>
                <c:numCache>
                  <c:formatCode>General</c:formatCode>
                  <c:ptCount val="5"/>
                  <c:pt idx="0">
                    <c:v>5.3333000000000004</c:v>
                  </c:pt>
                  <c:pt idx="1">
                    <c:v>4.214599999999999</c:v>
                  </c:pt>
                  <c:pt idx="2">
                    <c:v>7.3508999999999984</c:v>
                  </c:pt>
                  <c:pt idx="3">
                    <c:v>5.3333000000000004</c:v>
                  </c:pt>
                  <c:pt idx="4">
                    <c:v>6.1962000000000002</c:v>
                  </c:pt>
                </c:numCache>
              </c:numRef>
            </c:minus>
            <c:spPr>
              <a:ln w="19050" cap="flat" cmpd="sng" algn="ctr">
                <a:solidFill>
                  <a:sysClr val="windowText" lastClr="000000"/>
                </a:solidFill>
                <a:prstDash val="solid"/>
                <a:round/>
              </a:ln>
            </c:spPr>
          </c:errBars>
          <c:cat>
            <c:strRef>
              <c:f>'[横板桥、宁乡试验数据(1)(1).xlsx]Sheet2'!$B$3:$F$3</c:f>
              <c:strCache>
                <c:ptCount val="5"/>
                <c:pt idx="0">
                  <c:v>移栽期</c:v>
                </c:pt>
                <c:pt idx="1">
                  <c:v>团棵期</c:v>
                </c:pt>
                <c:pt idx="2">
                  <c:v>旺长期</c:v>
                </c:pt>
                <c:pt idx="3">
                  <c:v>打顶期</c:v>
                </c:pt>
                <c:pt idx="4">
                  <c:v>成熟期</c:v>
                </c:pt>
              </c:strCache>
            </c:strRef>
          </c:cat>
          <c:val>
            <c:numRef>
              <c:f>'[横板桥、宁乡试验数据(1)(1).xlsx]Sheet2'!$B$4:$F$4</c:f>
              <c:numCache>
                <c:formatCode>0_ </c:formatCode>
                <c:ptCount val="5"/>
                <c:pt idx="0">
                  <c:v>93.333333333333272</c:v>
                </c:pt>
                <c:pt idx="1">
                  <c:v>52.666666666666679</c:v>
                </c:pt>
                <c:pt idx="2">
                  <c:v>239.33333333333306</c:v>
                </c:pt>
                <c:pt idx="3">
                  <c:v>146.66666666666694</c:v>
                </c:pt>
                <c:pt idx="4">
                  <c:v>132.66666666666694</c:v>
                </c:pt>
              </c:numCache>
            </c:numRef>
          </c:val>
        </c:ser>
        <c:ser>
          <c:idx val="1"/>
          <c:order val="1"/>
          <c:tx>
            <c:strRef>
              <c:f>'[横板桥、宁乡试验数据(1)(1).xlsx]Sheet2'!$A$5</c:f>
              <c:strCache>
                <c:ptCount val="1"/>
                <c:pt idx="0">
                  <c:v>处理1</c:v>
                </c:pt>
              </c:strCache>
            </c:strRef>
          </c:tx>
          <c:spPr>
            <a:pattFill prst="horzBrick">
              <a:fgClr>
                <a:srgbClr val="000000"/>
              </a:fgClr>
              <a:bgClr>
                <a:srgbClr val="FFFFFF"/>
              </a:bgClr>
            </a:pattFill>
            <a:ln>
              <a:solidFill>
                <a:srgbClr val="000000"/>
              </a:solidFill>
            </a:ln>
            <a:effectLst/>
          </c:spPr>
          <c:dLbls>
            <c:dLbl>
              <c:idx val="0"/>
              <c:tx>
                <c:rich>
                  <a:bodyPr/>
                  <a:lstStyle/>
                  <a:p>
                    <a:r>
                      <a:rPr lang="en-US" altLang="en-US"/>
                      <a:t>aA</a:t>
                    </a:r>
                    <a:endParaRPr altLang="en-US"/>
                  </a:p>
                </c:rich>
              </c:tx>
              <c:dLblPos val="outEnd"/>
              <c:showVal val="1"/>
              <c:extLst>
                <c:ext xmlns:c15="http://schemas.microsoft.com/office/drawing/2012/chart" uri="{CE6537A1-D6FC-4f65-9D91-7224C49458BB}"/>
              </c:extLst>
            </c:dLbl>
            <c:dLbl>
              <c:idx val="1"/>
              <c:tx>
                <c:rich>
                  <a:bodyPr/>
                  <a:lstStyle/>
                  <a:p>
                    <a:r>
                      <a:rPr lang="en-US" altLang="en-US"/>
                      <a:t>aA</a:t>
                    </a:r>
                    <a:r>
                      <a:rPr altLang="en-US"/>
                      <a:t> </a:t>
                    </a:r>
                  </a:p>
                </c:rich>
              </c:tx>
              <c:dLblPos val="outEnd"/>
              <c:showVal val="1"/>
              <c:extLst>
                <c:ext xmlns:c15="http://schemas.microsoft.com/office/drawing/2012/chart" uri="{CE6537A1-D6FC-4f65-9D91-7224C49458BB}"/>
              </c:extLst>
            </c:dLbl>
            <c:dLbl>
              <c:idx val="2"/>
              <c:tx>
                <c:rich>
                  <a:bodyPr/>
                  <a:lstStyle/>
                  <a:p>
                    <a:r>
                      <a:rPr lang="en-US" altLang="en-US"/>
                      <a:t>aA</a:t>
                    </a:r>
                    <a:r>
                      <a:rPr altLang="en-US"/>
                      <a:t> </a:t>
                    </a:r>
                  </a:p>
                </c:rich>
              </c:tx>
              <c:dLblPos val="outEnd"/>
              <c:showVal val="1"/>
              <c:extLst>
                <c:ext xmlns:c15="http://schemas.microsoft.com/office/drawing/2012/chart" uri="{CE6537A1-D6FC-4f65-9D91-7224C49458BB}"/>
              </c:extLst>
            </c:dLbl>
            <c:dLbl>
              <c:idx val="3"/>
              <c:tx>
                <c:rich>
                  <a:bodyPr/>
                  <a:lstStyle/>
                  <a:p>
                    <a:r>
                      <a:rPr lang="en-US" altLang="en-US"/>
                      <a:t>abA</a:t>
                    </a:r>
                    <a:r>
                      <a:rPr altLang="en-US"/>
                      <a:t> </a:t>
                    </a:r>
                  </a:p>
                </c:rich>
              </c:tx>
              <c:dLblPos val="outEnd"/>
              <c:showVal val="1"/>
              <c:extLst>
                <c:ext xmlns:c15="http://schemas.microsoft.com/office/drawing/2012/chart" uri="{CE6537A1-D6FC-4f65-9D91-7224C49458BB}"/>
              </c:extLst>
            </c:dLbl>
            <c:dLbl>
              <c:idx val="4"/>
              <c:tx>
                <c:rich>
                  <a:bodyPr/>
                  <a:lstStyle/>
                  <a:p>
                    <a:r>
                      <a:rPr lang="en-US" altLang="en-US"/>
                      <a:t>aA</a:t>
                    </a:r>
                    <a:r>
                      <a:rPr altLang="en-US"/>
                      <a:t> </a:t>
                    </a:r>
                  </a:p>
                </c:rich>
              </c:tx>
              <c:dLblPos val="outEnd"/>
              <c:showVal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rgbClr val="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errBars>
            <c:errBarType val="both"/>
            <c:errValType val="cust"/>
            <c:plus>
              <c:numRef>
                <c:f>'[横板桥、宁乡试验数据(1)(1).xlsx]Sheet2'!$B$33:$F$33</c:f>
                <c:numCache>
                  <c:formatCode>General</c:formatCode>
                  <c:ptCount val="5"/>
                  <c:pt idx="0">
                    <c:v>3.3093999999999997</c:v>
                  </c:pt>
                  <c:pt idx="1">
                    <c:v>3.4037000000000002</c:v>
                  </c:pt>
                  <c:pt idx="2">
                    <c:v>6.7831000000000001</c:v>
                  </c:pt>
                  <c:pt idx="3">
                    <c:v>3.3093999999999997</c:v>
                  </c:pt>
                  <c:pt idx="4">
                    <c:v>7.4291</c:v>
                  </c:pt>
                </c:numCache>
              </c:numRef>
            </c:plus>
            <c:minus>
              <c:numRef>
                <c:f>'[横板桥、宁乡试验数据(1)(1).xlsx]Sheet2'!$B$33:$F$33</c:f>
                <c:numCache>
                  <c:formatCode>General</c:formatCode>
                  <c:ptCount val="5"/>
                  <c:pt idx="0">
                    <c:v>3.3093999999999997</c:v>
                  </c:pt>
                  <c:pt idx="1">
                    <c:v>3.4037000000000002</c:v>
                  </c:pt>
                  <c:pt idx="2">
                    <c:v>6.7831000000000001</c:v>
                  </c:pt>
                  <c:pt idx="3">
                    <c:v>3.3093999999999997</c:v>
                  </c:pt>
                  <c:pt idx="4">
                    <c:v>7.4291</c:v>
                  </c:pt>
                </c:numCache>
              </c:numRef>
            </c:minus>
            <c:spPr>
              <a:ln w="19050" cap="flat" cmpd="sng" algn="ctr">
                <a:solidFill>
                  <a:srgbClr val="000000"/>
                </a:solidFill>
                <a:prstDash val="solid"/>
                <a:round/>
              </a:ln>
            </c:spPr>
          </c:errBars>
          <c:cat>
            <c:strRef>
              <c:f>'[横板桥、宁乡试验数据(1)(1).xlsx]Sheet2'!$B$3:$F$3</c:f>
              <c:strCache>
                <c:ptCount val="5"/>
                <c:pt idx="0">
                  <c:v>移栽期</c:v>
                </c:pt>
                <c:pt idx="1">
                  <c:v>团棵期</c:v>
                </c:pt>
                <c:pt idx="2">
                  <c:v>旺长期</c:v>
                </c:pt>
                <c:pt idx="3">
                  <c:v>打顶期</c:v>
                </c:pt>
                <c:pt idx="4">
                  <c:v>成熟期</c:v>
                </c:pt>
              </c:strCache>
            </c:strRef>
          </c:cat>
          <c:val>
            <c:numRef>
              <c:f>'[横板桥、宁乡试验数据(1)(1).xlsx]Sheet2'!$B$5:$F$5</c:f>
              <c:numCache>
                <c:formatCode>0_ </c:formatCode>
                <c:ptCount val="5"/>
                <c:pt idx="0">
                  <c:v>128</c:v>
                </c:pt>
                <c:pt idx="1">
                  <c:v>98.333333333333272</c:v>
                </c:pt>
                <c:pt idx="2">
                  <c:v>267</c:v>
                </c:pt>
                <c:pt idx="3">
                  <c:v>175</c:v>
                </c:pt>
                <c:pt idx="4">
                  <c:v>163.33333333333306</c:v>
                </c:pt>
              </c:numCache>
            </c:numRef>
          </c:val>
        </c:ser>
        <c:ser>
          <c:idx val="2"/>
          <c:order val="2"/>
          <c:tx>
            <c:strRef>
              <c:f>'[横板桥、宁乡试验数据(1)(1).xlsx]Sheet2'!$A$6</c:f>
              <c:strCache>
                <c:ptCount val="1"/>
                <c:pt idx="0">
                  <c:v>处理2</c:v>
                </c:pt>
              </c:strCache>
            </c:strRef>
          </c:tx>
          <c:spPr>
            <a:pattFill prst="diagBrick">
              <a:fgClr>
                <a:srgbClr val="000000"/>
              </a:fgClr>
              <a:bgClr>
                <a:srgbClr val="FFFFFF"/>
              </a:bgClr>
            </a:pattFill>
            <a:ln>
              <a:solidFill>
                <a:srgbClr val="000000"/>
              </a:solidFill>
            </a:ln>
            <a:effectLst/>
          </c:spPr>
          <c:dLbls>
            <c:dLbl>
              <c:idx val="0"/>
              <c:tx>
                <c:rich>
                  <a:bodyPr/>
                  <a:lstStyle/>
                  <a:p>
                    <a:r>
                      <a:rPr lang="en-US" altLang="en-US"/>
                      <a:t>bB</a:t>
                    </a:r>
                    <a:endParaRPr altLang="en-US"/>
                  </a:p>
                </c:rich>
              </c:tx>
              <c:dLblPos val="outEnd"/>
              <c:showVal val="1"/>
              <c:extLst>
                <c:ext xmlns:c15="http://schemas.microsoft.com/office/drawing/2012/chart" uri="{CE6537A1-D6FC-4f65-9D91-7224C49458BB}"/>
              </c:extLst>
            </c:dLbl>
            <c:dLbl>
              <c:idx val="1"/>
              <c:tx>
                <c:rich>
                  <a:bodyPr/>
                  <a:lstStyle/>
                  <a:p>
                    <a:r>
                      <a:rPr lang="en-US" altLang="en-US"/>
                      <a:t>bB</a:t>
                    </a:r>
                    <a:r>
                      <a:rPr altLang="en-US"/>
                      <a:t> </a:t>
                    </a:r>
                  </a:p>
                </c:rich>
              </c:tx>
              <c:dLblPos val="outEnd"/>
              <c:showVal val="1"/>
              <c:extLst>
                <c:ext xmlns:c15="http://schemas.microsoft.com/office/drawing/2012/chart" uri="{CE6537A1-D6FC-4f65-9D91-7224C49458BB}"/>
              </c:extLst>
            </c:dLbl>
            <c:dLbl>
              <c:idx val="2"/>
              <c:tx>
                <c:rich>
                  <a:bodyPr/>
                  <a:lstStyle/>
                  <a:p>
                    <a:r>
                      <a:rPr lang="en-US" altLang="en-US"/>
                      <a:t>cB</a:t>
                    </a:r>
                    <a:r>
                      <a:rPr altLang="en-US"/>
                      <a:t> </a:t>
                    </a:r>
                  </a:p>
                </c:rich>
              </c:tx>
              <c:dLblPos val="outEnd"/>
              <c:showVal val="1"/>
              <c:extLst>
                <c:ext xmlns:c15="http://schemas.microsoft.com/office/drawing/2012/chart" uri="{CE6537A1-D6FC-4f65-9D91-7224C49458BB}"/>
              </c:extLst>
            </c:dLbl>
            <c:dLbl>
              <c:idx val="3"/>
              <c:tx>
                <c:rich>
                  <a:bodyPr/>
                  <a:lstStyle/>
                  <a:p>
                    <a:r>
                      <a:rPr lang="en-US" altLang="en-US"/>
                      <a:t>bB</a:t>
                    </a:r>
                    <a:r>
                      <a:rPr altLang="en-US"/>
                      <a:t> </a:t>
                    </a:r>
                  </a:p>
                </c:rich>
              </c:tx>
              <c:dLblPos val="outEnd"/>
              <c:showVal val="1"/>
              <c:extLst>
                <c:ext xmlns:c15="http://schemas.microsoft.com/office/drawing/2012/chart" uri="{CE6537A1-D6FC-4f65-9D91-7224C49458BB}"/>
              </c:extLst>
            </c:dLbl>
            <c:dLbl>
              <c:idx val="4"/>
              <c:tx>
                <c:rich>
                  <a:bodyPr/>
                  <a:lstStyle/>
                  <a:p>
                    <a:r>
                      <a:rPr lang="en-US" altLang="en-US"/>
                      <a:t>bB</a:t>
                    </a:r>
                    <a:r>
                      <a:rPr altLang="en-US"/>
                      <a:t> </a:t>
                    </a:r>
                  </a:p>
                </c:rich>
              </c:tx>
              <c:dLblPos val="outEnd"/>
              <c:showVal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rgbClr val="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errBars>
            <c:errBarType val="both"/>
            <c:errValType val="cust"/>
            <c:plus>
              <c:numRef>
                <c:f>'[横板桥、宁乡试验数据(1)(1).xlsx]Sheet2'!$B$34:$F$34</c:f>
                <c:numCache>
                  <c:formatCode>General</c:formatCode>
                  <c:ptCount val="5"/>
                  <c:pt idx="0">
                    <c:v>4.7858999999999998</c:v>
                  </c:pt>
                  <c:pt idx="1">
                    <c:v>7.9362000000000021</c:v>
                  </c:pt>
                  <c:pt idx="2">
                    <c:v>6.6074999999999982</c:v>
                  </c:pt>
                  <c:pt idx="3">
                    <c:v>4.7858999999999998</c:v>
                  </c:pt>
                  <c:pt idx="4">
                    <c:v>6.1962000000000002</c:v>
                  </c:pt>
                </c:numCache>
              </c:numRef>
            </c:plus>
            <c:minus>
              <c:numRef>
                <c:f>'[横板桥、宁乡试验数据(1)(1).xlsx]Sheet2'!$B$34:$F$34</c:f>
                <c:numCache>
                  <c:formatCode>General</c:formatCode>
                  <c:ptCount val="5"/>
                  <c:pt idx="0">
                    <c:v>4.7858999999999998</c:v>
                  </c:pt>
                  <c:pt idx="1">
                    <c:v>7.9362000000000021</c:v>
                  </c:pt>
                  <c:pt idx="2">
                    <c:v>6.6074999999999982</c:v>
                  </c:pt>
                  <c:pt idx="3">
                    <c:v>4.7858999999999998</c:v>
                  </c:pt>
                  <c:pt idx="4">
                    <c:v>6.1962000000000002</c:v>
                  </c:pt>
                </c:numCache>
              </c:numRef>
            </c:minus>
            <c:spPr>
              <a:ln w="19050" cap="flat" cmpd="sng" algn="ctr">
                <a:solidFill>
                  <a:sysClr val="windowText" lastClr="000000"/>
                </a:solidFill>
                <a:prstDash val="solid"/>
                <a:round/>
              </a:ln>
            </c:spPr>
          </c:errBars>
          <c:cat>
            <c:strRef>
              <c:f>'[横板桥、宁乡试验数据(1)(1).xlsx]Sheet2'!$B$3:$F$3</c:f>
              <c:strCache>
                <c:ptCount val="5"/>
                <c:pt idx="0">
                  <c:v>移栽期</c:v>
                </c:pt>
                <c:pt idx="1">
                  <c:v>团棵期</c:v>
                </c:pt>
                <c:pt idx="2">
                  <c:v>旺长期</c:v>
                </c:pt>
                <c:pt idx="3">
                  <c:v>打顶期</c:v>
                </c:pt>
                <c:pt idx="4">
                  <c:v>成熟期</c:v>
                </c:pt>
              </c:strCache>
            </c:strRef>
          </c:cat>
          <c:val>
            <c:numRef>
              <c:f>'[横板桥、宁乡试验数据(1)(1).xlsx]Sheet2'!$B$6:$F$6</c:f>
              <c:numCache>
                <c:formatCode>0_ </c:formatCode>
                <c:ptCount val="5"/>
                <c:pt idx="0">
                  <c:v>102.33333333333297</c:v>
                </c:pt>
                <c:pt idx="1">
                  <c:v>57</c:v>
                </c:pt>
                <c:pt idx="2">
                  <c:v>205</c:v>
                </c:pt>
                <c:pt idx="3">
                  <c:v>156.33333333333306</c:v>
                </c:pt>
                <c:pt idx="4">
                  <c:v>116</c:v>
                </c:pt>
              </c:numCache>
            </c:numRef>
          </c:val>
        </c:ser>
        <c:ser>
          <c:idx val="3"/>
          <c:order val="3"/>
          <c:tx>
            <c:strRef>
              <c:f>'[横板桥、宁乡试验数据(1)(1).xlsx]Sheet2'!$A$7</c:f>
              <c:strCache>
                <c:ptCount val="1"/>
                <c:pt idx="0">
                  <c:v>处理3</c:v>
                </c:pt>
              </c:strCache>
            </c:strRef>
          </c:tx>
          <c:spPr>
            <a:pattFill prst="dashVert">
              <a:fgClr>
                <a:srgbClr val="000000"/>
              </a:fgClr>
              <a:bgClr>
                <a:srgbClr val="FFFFFF"/>
              </a:bgClr>
            </a:pattFill>
            <a:ln>
              <a:solidFill>
                <a:srgbClr val="000000"/>
              </a:solidFill>
            </a:ln>
            <a:effectLst/>
          </c:spPr>
          <c:dLbls>
            <c:dLbl>
              <c:idx val="0"/>
              <c:tx>
                <c:rich>
                  <a:bodyPr/>
                  <a:lstStyle/>
                  <a:p>
                    <a:r>
                      <a:rPr lang="en-US" altLang="en-US"/>
                      <a:t>aA</a:t>
                    </a:r>
                    <a:r>
                      <a:rPr altLang="en-US"/>
                      <a:t> </a:t>
                    </a:r>
                  </a:p>
                </c:rich>
              </c:tx>
              <c:dLblPos val="outEnd"/>
              <c:showVal val="1"/>
              <c:extLst>
                <c:ext xmlns:c15="http://schemas.microsoft.com/office/drawing/2012/chart" uri="{CE6537A1-D6FC-4f65-9D91-7224C49458BB}"/>
              </c:extLst>
            </c:dLbl>
            <c:dLbl>
              <c:idx val="1"/>
              <c:tx>
                <c:rich>
                  <a:bodyPr/>
                  <a:lstStyle/>
                  <a:p>
                    <a:r>
                      <a:rPr lang="en-US" altLang="en-US"/>
                      <a:t>aA</a:t>
                    </a:r>
                    <a:r>
                      <a:rPr altLang="en-US"/>
                      <a:t> </a:t>
                    </a:r>
                  </a:p>
                </c:rich>
              </c:tx>
              <c:dLblPos val="outEnd"/>
              <c:showVal val="1"/>
              <c:extLst>
                <c:ext xmlns:c15="http://schemas.microsoft.com/office/drawing/2012/chart" uri="{CE6537A1-D6FC-4f65-9D91-7224C49458BB}"/>
              </c:extLst>
            </c:dLbl>
            <c:dLbl>
              <c:idx val="2"/>
              <c:tx>
                <c:rich>
                  <a:bodyPr/>
                  <a:lstStyle/>
                  <a:p>
                    <a:r>
                      <a:rPr lang="en-US" altLang="en-US"/>
                      <a:t>abA</a:t>
                    </a:r>
                    <a:r>
                      <a:rPr altLang="en-US"/>
                      <a:t> </a:t>
                    </a:r>
                  </a:p>
                </c:rich>
              </c:tx>
              <c:dLblPos val="outEnd"/>
              <c:showVal val="1"/>
              <c:extLst>
                <c:ext xmlns:c15="http://schemas.microsoft.com/office/drawing/2012/chart" uri="{CE6537A1-D6FC-4f65-9D91-7224C49458BB}"/>
              </c:extLst>
            </c:dLbl>
            <c:dLbl>
              <c:idx val="3"/>
              <c:tx>
                <c:rich>
                  <a:bodyPr/>
                  <a:lstStyle/>
                  <a:p>
                    <a:r>
                      <a:rPr lang="en-US" altLang="en-US"/>
                      <a:t>aA</a:t>
                    </a:r>
                    <a:r>
                      <a:rPr altLang="en-US"/>
                      <a:t> </a:t>
                    </a:r>
                  </a:p>
                </c:rich>
              </c:tx>
              <c:dLblPos val="outEnd"/>
              <c:showVal val="1"/>
              <c:extLst>
                <c:ext xmlns:c15="http://schemas.microsoft.com/office/drawing/2012/chart" uri="{CE6537A1-D6FC-4f65-9D91-7224C49458BB}"/>
              </c:extLst>
            </c:dLbl>
            <c:dLbl>
              <c:idx val="4"/>
              <c:tx>
                <c:rich>
                  <a:bodyPr/>
                  <a:lstStyle/>
                  <a:p>
                    <a:r>
                      <a:rPr lang="en-US" altLang="en-US"/>
                      <a:t>aA</a:t>
                    </a:r>
                    <a:r>
                      <a:rPr altLang="en-US"/>
                      <a:t> </a:t>
                    </a:r>
                  </a:p>
                </c:rich>
              </c:tx>
              <c:dLblPos val="outEnd"/>
              <c:showVal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rgbClr val="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errBars>
            <c:errBarType val="both"/>
            <c:errValType val="cust"/>
            <c:plus>
              <c:numRef>
                <c:f>'[横板桥、宁乡试验数据(1)(1).xlsx]Sheet2'!$B$35:$F$35</c:f>
                <c:numCache>
                  <c:formatCode>General</c:formatCode>
                  <c:ptCount val="5"/>
                  <c:pt idx="0">
                    <c:v>7.2187999999999999</c:v>
                  </c:pt>
                  <c:pt idx="1">
                    <c:v>5.7831000000000001</c:v>
                  </c:pt>
                  <c:pt idx="2">
                    <c:v>6.5658999999999983</c:v>
                  </c:pt>
                  <c:pt idx="3">
                    <c:v>7.2187999999999999</c:v>
                  </c:pt>
                  <c:pt idx="4">
                    <c:v>3.4529999999999994</c:v>
                  </c:pt>
                </c:numCache>
              </c:numRef>
            </c:plus>
            <c:minus>
              <c:numRef>
                <c:f>'[横板桥、宁乡试验数据(1)(1).xlsx]Sheet2'!$B$35:$F$35</c:f>
                <c:numCache>
                  <c:formatCode>General</c:formatCode>
                  <c:ptCount val="5"/>
                  <c:pt idx="0">
                    <c:v>7.2187999999999999</c:v>
                  </c:pt>
                  <c:pt idx="1">
                    <c:v>5.7831000000000001</c:v>
                  </c:pt>
                  <c:pt idx="2">
                    <c:v>6.5658999999999983</c:v>
                  </c:pt>
                  <c:pt idx="3">
                    <c:v>7.2187999999999999</c:v>
                  </c:pt>
                  <c:pt idx="4">
                    <c:v>3.4529999999999994</c:v>
                  </c:pt>
                </c:numCache>
              </c:numRef>
            </c:minus>
            <c:spPr>
              <a:ln w="19050" cap="flat" cmpd="sng" algn="ctr">
                <a:solidFill>
                  <a:sysClr val="windowText" lastClr="000000"/>
                </a:solidFill>
                <a:prstDash val="solid"/>
                <a:round/>
              </a:ln>
            </c:spPr>
          </c:errBars>
          <c:cat>
            <c:strRef>
              <c:f>'[横板桥、宁乡试验数据(1)(1).xlsx]Sheet2'!$B$3:$F$3</c:f>
              <c:strCache>
                <c:ptCount val="5"/>
                <c:pt idx="0">
                  <c:v>移栽期</c:v>
                </c:pt>
                <c:pt idx="1">
                  <c:v>团棵期</c:v>
                </c:pt>
                <c:pt idx="2">
                  <c:v>旺长期</c:v>
                </c:pt>
                <c:pt idx="3">
                  <c:v>打顶期</c:v>
                </c:pt>
                <c:pt idx="4">
                  <c:v>成熟期</c:v>
                </c:pt>
              </c:strCache>
            </c:strRef>
          </c:cat>
          <c:val>
            <c:numRef>
              <c:f>'[横板桥、宁乡试验数据(1)(1).xlsx]Sheet2'!$B$7:$F$7</c:f>
              <c:numCache>
                <c:formatCode>0_ </c:formatCode>
                <c:ptCount val="5"/>
                <c:pt idx="0">
                  <c:v>136.33333333333306</c:v>
                </c:pt>
                <c:pt idx="1">
                  <c:v>104.33333333333297</c:v>
                </c:pt>
                <c:pt idx="2">
                  <c:v>250.66666666666694</c:v>
                </c:pt>
                <c:pt idx="3">
                  <c:v>182.66666666666694</c:v>
                </c:pt>
                <c:pt idx="4">
                  <c:v>160</c:v>
                </c:pt>
              </c:numCache>
            </c:numRef>
          </c:val>
        </c:ser>
        <c:dLbls>
          <c:showVal val="1"/>
        </c:dLbls>
        <c:gapWidth val="219"/>
        <c:overlap val="-27"/>
        <c:axId val="152004096"/>
        <c:axId val="152006016"/>
      </c:barChart>
      <c:catAx>
        <c:axId val="152004096"/>
        <c:scaling>
          <c:orientation val="minMax"/>
        </c:scaling>
        <c:axPos val="b"/>
        <c:title>
          <c:tx>
            <c:rich>
              <a:bodyPr rot="0" spcFirstLastPara="0" vertOverflow="ellipsis" vert="horz" wrap="square" anchor="ctr" anchorCtr="1"/>
              <a:lstStyle/>
              <a:p>
                <a:pPr>
                  <a:defRPr lang="zh-CN" sz="1000" b="1" i="0" u="none" strike="noStrike" kern="1200" baseline="0">
                    <a:solidFill>
                      <a:srgbClr val="000000"/>
                    </a:solidFill>
                    <a:latin typeface="+mn-lt"/>
                    <a:ea typeface="+mn-ea"/>
                    <a:cs typeface="+mn-cs"/>
                  </a:defRPr>
                </a:pPr>
                <a:r>
                  <a:rPr lang="zh-CN" altLang="en-US"/>
                  <a:t>烤烟大田生育期</a:t>
                </a:r>
              </a:p>
            </c:rich>
          </c:tx>
        </c:title>
        <c:majorTickMark val="none"/>
        <c:tickLblPos val="nextTo"/>
        <c:spPr>
          <a:noFill/>
          <a:ln w="19050" cap="flat" cmpd="sng" algn="ctr">
            <a:solidFill>
              <a:srgbClr val="000000"/>
            </a:solidFill>
            <a:prstDash val="solid"/>
            <a:round/>
          </a:ln>
          <a:effectLst/>
        </c:spPr>
        <c:txPr>
          <a:bodyPr rot="-60000000" spcFirstLastPara="0" vertOverflow="ellipsis" vert="horz" wrap="square" anchor="ctr" anchorCtr="1"/>
          <a:lstStyle/>
          <a:p>
            <a:pPr>
              <a:defRPr lang="zh-CN" sz="1000" b="1" i="0" u="none" strike="noStrike" kern="1200" baseline="0">
                <a:solidFill>
                  <a:srgbClr val="000000"/>
                </a:solidFill>
                <a:latin typeface="+mn-lt"/>
                <a:ea typeface="+mn-ea"/>
                <a:cs typeface="+mn-cs"/>
              </a:defRPr>
            </a:pPr>
            <a:endParaRPr lang="zh-CN"/>
          </a:p>
        </c:txPr>
        <c:crossAx val="152006016"/>
        <c:crosses val="autoZero"/>
        <c:auto val="1"/>
        <c:lblAlgn val="ctr"/>
        <c:lblOffset val="100"/>
      </c:catAx>
      <c:valAx>
        <c:axId val="152006016"/>
        <c:scaling>
          <c:orientation val="minMax"/>
        </c:scaling>
        <c:axPos val="l"/>
        <c:title>
          <c:tx>
            <c:rich>
              <a:bodyPr rot="-5400000" spcFirstLastPara="0" vertOverflow="ellipsis" vert="horz" wrap="square" anchor="ctr" anchorCtr="1"/>
              <a:lstStyle/>
              <a:p>
                <a:pPr>
                  <a:defRPr lang="zh-CN" sz="1000" b="1" i="0" u="none" strike="noStrike" kern="1200" baseline="0">
                    <a:solidFill>
                      <a:srgbClr val="000000"/>
                    </a:solidFill>
                    <a:latin typeface="+mn-lt"/>
                    <a:ea typeface="+mn-ea"/>
                    <a:cs typeface="+mn-cs"/>
                  </a:defRPr>
                </a:pPr>
                <a:r>
                  <a:rPr lang="en-US"/>
                  <a:t>POD/(</a:t>
                </a:r>
                <a:r>
                  <a:rPr lang="el-GR"/>
                  <a:t>Δ</a:t>
                </a:r>
                <a:r>
                  <a:rPr lang="en-US"/>
                  <a:t>A470·g</a:t>
                </a:r>
                <a:r>
                  <a:rPr lang="en-US" baseline="30000">
                    <a:solidFill>
                      <a:srgbClr val="000000"/>
                    </a:solidFill>
                    <a:uFillTx/>
                  </a:rPr>
                  <a:t>-1</a:t>
                </a:r>
                <a:r>
                  <a:rPr lang="en-US"/>
                  <a:t>·min</a:t>
                </a:r>
                <a:r>
                  <a:rPr lang="en-US" baseline="30000">
                    <a:solidFill>
                      <a:srgbClr val="000000"/>
                    </a:solidFill>
                    <a:uFillTx/>
                  </a:rPr>
                  <a:t>-1</a:t>
                </a:r>
                <a:r>
                  <a:rPr lang="en-US"/>
                  <a:t>)</a:t>
                </a:r>
              </a:p>
            </c:rich>
          </c:tx>
        </c:title>
        <c:numFmt formatCode="0_ " sourceLinked="1"/>
        <c:majorTickMark val="in"/>
        <c:tickLblPos val="nextTo"/>
        <c:spPr>
          <a:noFill/>
          <a:ln w="19050" cap="flat" cmpd="sng" algn="ctr">
            <a:solidFill>
              <a:sysClr val="windowText" lastClr="000000"/>
            </a:solidFill>
            <a:prstDash val="solid"/>
            <a:round/>
          </a:ln>
          <a:effectLst/>
        </c:spPr>
        <c:txPr>
          <a:bodyPr rot="-60000000" spcFirstLastPara="0" vertOverflow="ellipsis" vert="horz" wrap="square" anchor="ctr" anchorCtr="1"/>
          <a:lstStyle/>
          <a:p>
            <a:pPr>
              <a:defRPr lang="zh-CN" sz="1000" b="1" i="0" u="none" strike="noStrike" kern="1200" baseline="0">
                <a:solidFill>
                  <a:srgbClr val="000000"/>
                </a:solidFill>
                <a:latin typeface="+mn-lt"/>
                <a:ea typeface="+mn-ea"/>
                <a:cs typeface="+mn-cs"/>
              </a:defRPr>
            </a:pPr>
            <a:endParaRPr lang="zh-CN"/>
          </a:p>
        </c:txPr>
        <c:crossAx val="152004096"/>
        <c:crosses val="autoZero"/>
        <c:crossBetween val="between"/>
      </c:valAx>
      <c:spPr>
        <a:noFill/>
        <a:ln>
          <a:noFill/>
        </a:ln>
        <a:effectLst/>
      </c:spPr>
    </c:plotArea>
    <c:legend>
      <c:legendPos val="t"/>
      <c:layout>
        <c:manualLayout>
          <c:xMode val="edge"/>
          <c:yMode val="edge"/>
          <c:x val="0.14883181178221505"/>
          <c:y val="5.39374325782093E-2"/>
          <c:w val="0.79179617687139903"/>
          <c:h val="5.9778389351816515E-2"/>
        </c:manualLayout>
      </c:layout>
      <c:spPr>
        <a:noFill/>
        <a:ln>
          <a:noFill/>
        </a:ln>
        <a:effectLst/>
      </c:spPr>
      <c:txPr>
        <a:bodyPr rot="0" spcFirstLastPara="0" vertOverflow="ellipsis" vert="horz" wrap="square" anchor="ctr" anchorCtr="1"/>
        <a:lstStyle/>
        <a:p>
          <a:pPr>
            <a:defRPr lang="zh-CN" sz="1000" b="1" i="0" u="none" strike="noStrike" kern="1200" baseline="0">
              <a:solidFill>
                <a:srgbClr val="000000"/>
              </a:solidFill>
              <a:latin typeface="+mn-lt"/>
              <a:ea typeface="+mn-ea"/>
              <a:cs typeface="+mn-cs"/>
            </a:defRPr>
          </a:pPr>
          <a:endParaRPr lang="zh-CN"/>
        </a:p>
      </c:txPr>
    </c:legend>
    <c:plotVisOnly val="1"/>
    <c:dispBlanksAs val="gap"/>
  </c:chart>
  <c:spPr>
    <a:solidFill>
      <a:srgbClr val="FFFFFF"/>
    </a:solidFill>
    <a:ln w="9525" cap="flat" cmpd="sng" algn="ctr">
      <a:solidFill>
        <a:srgbClr val="D9D9D9">
          <a:lumMod val="15000"/>
          <a:lumOff val="85000"/>
        </a:srgbClr>
      </a:solidFill>
      <a:prstDash val="solid"/>
      <a:round/>
    </a:ln>
    <a:effectLst/>
  </c:spPr>
  <c:txPr>
    <a:bodyPr/>
    <a:lstStyle/>
    <a:p>
      <a:pPr>
        <a:defRPr lang="zh-CN" b="1" i="0" baseline="0"/>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0642085842033802"/>
          <c:y val="9.1693635382955843E-2"/>
          <c:w val="0.87293457224831639"/>
          <c:h val="0.71527321220769724"/>
        </c:manualLayout>
      </c:layout>
      <c:barChart>
        <c:barDir val="col"/>
        <c:grouping val="clustered"/>
        <c:ser>
          <c:idx val="0"/>
          <c:order val="0"/>
          <c:tx>
            <c:strRef>
              <c:f>'[横板桥、宁乡试验数据(1)(2).xlsx]Sheet3'!$B$7</c:f>
              <c:strCache>
                <c:ptCount val="1"/>
                <c:pt idx="0">
                  <c:v>CK</c:v>
                </c:pt>
              </c:strCache>
            </c:strRef>
          </c:tx>
          <c:spPr>
            <a:pattFill prst="dashHorz">
              <a:fgClr>
                <a:srgbClr val="000000"/>
              </a:fgClr>
              <a:bgClr>
                <a:srgbClr val="FFFFFF"/>
              </a:bgClr>
            </a:pattFill>
            <a:ln>
              <a:solidFill>
                <a:srgbClr val="000000"/>
              </a:solidFill>
            </a:ln>
            <a:effectLst/>
          </c:spPr>
          <c:dLbls>
            <c:dLbl>
              <c:idx val="0"/>
              <c:tx>
                <c:rich>
                  <a:bodyPr/>
                  <a:lstStyle/>
                  <a:p>
                    <a:r>
                      <a:rPr lang="en-US" altLang="en-US" b="1" i="0" baseline="0"/>
                      <a:t>b</a:t>
                    </a:r>
                    <a:r>
                      <a:rPr lang="en-US" altLang="en-US"/>
                      <a:t>B</a:t>
                    </a:r>
                    <a:r>
                      <a:rPr altLang="en-US"/>
                      <a:t> </a:t>
                    </a:r>
                  </a:p>
                </c:rich>
              </c:tx>
              <c:dLblPos val="outEnd"/>
              <c:showVal val="1"/>
              <c:extLst>
                <c:ext xmlns:c15="http://schemas.microsoft.com/office/drawing/2012/chart" uri="{CE6537A1-D6FC-4f65-9D91-7224C49458BB}"/>
              </c:extLst>
            </c:dLbl>
            <c:dLbl>
              <c:idx val="1"/>
              <c:tx>
                <c:rich>
                  <a:bodyPr/>
                  <a:lstStyle/>
                  <a:p>
                    <a:r>
                      <a:rPr lang="en-US" altLang="en-US"/>
                      <a:t>bB</a:t>
                    </a:r>
                    <a:r>
                      <a:rPr altLang="en-US"/>
                      <a:t> </a:t>
                    </a:r>
                  </a:p>
                </c:rich>
              </c:tx>
              <c:dLblPos val="outEnd"/>
              <c:showVal val="1"/>
              <c:extLst>
                <c:ext xmlns:c15="http://schemas.microsoft.com/office/drawing/2012/chart" uri="{CE6537A1-D6FC-4f65-9D91-7224C49458BB}"/>
              </c:extLst>
            </c:dLbl>
            <c:dLbl>
              <c:idx val="2"/>
              <c:tx>
                <c:rich>
                  <a:bodyPr/>
                  <a:lstStyle/>
                  <a:p>
                    <a:r>
                      <a:rPr lang="en-US" altLang="en-US"/>
                      <a:t>cC</a:t>
                    </a:r>
                    <a:r>
                      <a:rPr altLang="en-US"/>
                      <a:t> </a:t>
                    </a:r>
                  </a:p>
                </c:rich>
              </c:tx>
              <c:dLblPos val="outEnd"/>
              <c:showVal val="1"/>
              <c:extLst>
                <c:ext xmlns:c15="http://schemas.microsoft.com/office/drawing/2012/chart" uri="{CE6537A1-D6FC-4f65-9D91-7224C49458BB}"/>
              </c:extLst>
            </c:dLbl>
            <c:dLbl>
              <c:idx val="3"/>
              <c:tx>
                <c:rich>
                  <a:bodyPr/>
                  <a:lstStyle/>
                  <a:p>
                    <a:r>
                      <a:rPr lang="en-US" altLang="en-US"/>
                      <a:t>bB</a:t>
                    </a:r>
                    <a:r>
                      <a:rPr altLang="en-US"/>
                      <a:t> </a:t>
                    </a:r>
                  </a:p>
                </c:rich>
              </c:tx>
              <c:dLblPos val="outEnd"/>
              <c:showVal val="1"/>
              <c:extLst>
                <c:ext xmlns:c15="http://schemas.microsoft.com/office/drawing/2012/chart" uri="{CE6537A1-D6FC-4f65-9D91-7224C49458BB}"/>
              </c:extLst>
            </c:dLbl>
            <c:dLbl>
              <c:idx val="4"/>
              <c:tx>
                <c:rich>
                  <a:bodyPr/>
                  <a:lstStyle/>
                  <a:p>
                    <a:r>
                      <a:rPr lang="en-US" altLang="en-US"/>
                      <a:t>bB</a:t>
                    </a:r>
                    <a:r>
                      <a:rPr altLang="en-US"/>
                      <a:t> </a:t>
                    </a:r>
                  </a:p>
                </c:rich>
              </c:tx>
              <c:dLblPos val="outEnd"/>
              <c:showVal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rgbClr val="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errBars>
            <c:errBarType val="both"/>
            <c:errValType val="cust"/>
            <c:plus>
              <c:numRef>
                <c:f>'[横板桥、宁乡试验数据(1)(2).xlsx]Sheet3'!$B$29:$F$29</c:f>
                <c:numCache>
                  <c:formatCode>General</c:formatCode>
                  <c:ptCount val="5"/>
                  <c:pt idx="0">
                    <c:v>0.33330000000000021</c:v>
                  </c:pt>
                  <c:pt idx="1">
                    <c:v>0.21460000000000001</c:v>
                  </c:pt>
                  <c:pt idx="2">
                    <c:v>0.3509000000000001</c:v>
                  </c:pt>
                  <c:pt idx="3">
                    <c:v>0.33330000000000021</c:v>
                  </c:pt>
                  <c:pt idx="4">
                    <c:v>0.19620000000000001</c:v>
                  </c:pt>
                </c:numCache>
              </c:numRef>
            </c:plus>
            <c:minus>
              <c:numRef>
                <c:f>'[横板桥、宁乡试验数据(1)(2).xlsx]Sheet3'!$B$29:$F$29</c:f>
                <c:numCache>
                  <c:formatCode>General</c:formatCode>
                  <c:ptCount val="5"/>
                  <c:pt idx="0">
                    <c:v>0.33330000000000021</c:v>
                  </c:pt>
                  <c:pt idx="1">
                    <c:v>0.21460000000000001</c:v>
                  </c:pt>
                  <c:pt idx="2">
                    <c:v>0.3509000000000001</c:v>
                  </c:pt>
                  <c:pt idx="3">
                    <c:v>0.33330000000000021</c:v>
                  </c:pt>
                  <c:pt idx="4">
                    <c:v>0.19620000000000001</c:v>
                  </c:pt>
                </c:numCache>
              </c:numRef>
            </c:minus>
            <c:spPr>
              <a:ln w="19050" cap="flat" cmpd="sng" algn="ctr">
                <a:solidFill>
                  <a:srgbClr val="000000">
                    <a:shade val="95000"/>
                    <a:satMod val="105000"/>
                  </a:srgbClr>
                </a:solidFill>
                <a:prstDash val="solid"/>
                <a:round/>
              </a:ln>
            </c:spPr>
          </c:errBars>
          <c:cat>
            <c:strRef>
              <c:f>'[横板桥、宁乡试验数据(1)(2).xlsx]Sheet3'!$C$6:$G$6</c:f>
              <c:strCache>
                <c:ptCount val="5"/>
                <c:pt idx="0">
                  <c:v>移栽期</c:v>
                </c:pt>
                <c:pt idx="1">
                  <c:v>团棵期</c:v>
                </c:pt>
                <c:pt idx="2">
                  <c:v>旺长期</c:v>
                </c:pt>
                <c:pt idx="3">
                  <c:v>打顶期</c:v>
                </c:pt>
                <c:pt idx="4">
                  <c:v>成熟期</c:v>
                </c:pt>
              </c:strCache>
            </c:strRef>
          </c:cat>
          <c:val>
            <c:numRef>
              <c:f>'[横板桥、宁乡试验数据(1)(2).xlsx]Sheet3'!$C$7:$G$7</c:f>
              <c:numCache>
                <c:formatCode>0.00_ </c:formatCode>
                <c:ptCount val="5"/>
                <c:pt idx="0">
                  <c:v>5.3666666666666698</c:v>
                </c:pt>
                <c:pt idx="1">
                  <c:v>4.56666666666667</c:v>
                </c:pt>
                <c:pt idx="2">
                  <c:v>7.6</c:v>
                </c:pt>
                <c:pt idx="3">
                  <c:v>2.0333333333333301</c:v>
                </c:pt>
                <c:pt idx="4">
                  <c:v>6.3333333333333321</c:v>
                </c:pt>
              </c:numCache>
            </c:numRef>
          </c:val>
        </c:ser>
        <c:ser>
          <c:idx val="1"/>
          <c:order val="1"/>
          <c:tx>
            <c:strRef>
              <c:f>'[横板桥、宁乡试验数据(1)(2).xlsx]Sheet3'!$B$8</c:f>
              <c:strCache>
                <c:ptCount val="1"/>
                <c:pt idx="0">
                  <c:v>处理1</c:v>
                </c:pt>
              </c:strCache>
            </c:strRef>
          </c:tx>
          <c:spPr>
            <a:pattFill prst="horzBrick">
              <a:fgClr>
                <a:srgbClr val="000000"/>
              </a:fgClr>
              <a:bgClr>
                <a:srgbClr val="FFFFFF"/>
              </a:bgClr>
            </a:pattFill>
            <a:ln>
              <a:solidFill>
                <a:srgbClr val="000000"/>
              </a:solidFill>
            </a:ln>
            <a:effectLst/>
          </c:spPr>
          <c:dLbls>
            <c:dLbl>
              <c:idx val="0"/>
              <c:tx>
                <c:rich>
                  <a:bodyPr/>
                  <a:lstStyle/>
                  <a:p>
                    <a:r>
                      <a:rPr lang="en-US" altLang="en-US" b="1" i="0" baseline="0"/>
                      <a:t>a</a:t>
                    </a:r>
                    <a:r>
                      <a:rPr lang="en-US" altLang="en-US"/>
                      <a:t>bA</a:t>
                    </a:r>
                    <a:endParaRPr altLang="en-US"/>
                  </a:p>
                </c:rich>
              </c:tx>
              <c:dLblPos val="outEnd"/>
              <c:showVal val="1"/>
              <c:extLst>
                <c:ext xmlns:c15="http://schemas.microsoft.com/office/drawing/2012/chart" uri="{CE6537A1-D6FC-4f65-9D91-7224C49458BB}"/>
              </c:extLst>
            </c:dLbl>
            <c:dLbl>
              <c:idx val="1"/>
              <c:tx>
                <c:rich>
                  <a:bodyPr/>
                  <a:lstStyle/>
                  <a:p>
                    <a:r>
                      <a:rPr lang="en-US" altLang="en-US"/>
                      <a:t>aA</a:t>
                    </a:r>
                    <a:r>
                      <a:rPr altLang="en-US"/>
                      <a:t> </a:t>
                    </a:r>
                  </a:p>
                </c:rich>
              </c:tx>
              <c:dLblPos val="outEnd"/>
              <c:showVal val="1"/>
              <c:extLst>
                <c:ext xmlns:c15="http://schemas.microsoft.com/office/drawing/2012/chart" uri="{CE6537A1-D6FC-4f65-9D91-7224C49458BB}"/>
              </c:extLst>
            </c:dLbl>
            <c:dLbl>
              <c:idx val="2"/>
              <c:tx>
                <c:rich>
                  <a:bodyPr/>
                  <a:lstStyle/>
                  <a:p>
                    <a:r>
                      <a:rPr lang="en-US" altLang="en-US"/>
                      <a:t>bB</a:t>
                    </a:r>
                    <a:r>
                      <a:rPr altLang="en-US"/>
                      <a:t> </a:t>
                    </a:r>
                  </a:p>
                </c:rich>
              </c:tx>
              <c:dLblPos val="outEnd"/>
              <c:showVal val="1"/>
              <c:extLst>
                <c:ext xmlns:c15="http://schemas.microsoft.com/office/drawing/2012/chart" uri="{CE6537A1-D6FC-4f65-9D91-7224C49458BB}"/>
              </c:extLst>
            </c:dLbl>
            <c:dLbl>
              <c:idx val="3"/>
              <c:tx>
                <c:rich>
                  <a:bodyPr/>
                  <a:lstStyle/>
                  <a:p>
                    <a:r>
                      <a:rPr lang="en-US" altLang="en-US"/>
                      <a:t>aA</a:t>
                    </a:r>
                    <a:r>
                      <a:rPr altLang="en-US"/>
                      <a:t> </a:t>
                    </a:r>
                  </a:p>
                </c:rich>
              </c:tx>
              <c:dLblPos val="outEnd"/>
              <c:showVal val="1"/>
              <c:extLst>
                <c:ext xmlns:c15="http://schemas.microsoft.com/office/drawing/2012/chart" uri="{CE6537A1-D6FC-4f65-9D91-7224C49458BB}"/>
              </c:extLst>
            </c:dLbl>
            <c:dLbl>
              <c:idx val="4"/>
              <c:tx>
                <c:rich>
                  <a:bodyPr/>
                  <a:lstStyle/>
                  <a:p>
                    <a:r>
                      <a:rPr lang="en-US" altLang="en-US"/>
                      <a:t>abA</a:t>
                    </a:r>
                    <a:r>
                      <a:rPr altLang="en-US"/>
                      <a:t> </a:t>
                    </a:r>
                  </a:p>
                </c:rich>
              </c:tx>
              <c:dLblPos val="outEnd"/>
              <c:showVal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rgbClr val="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errBars>
            <c:errBarType val="both"/>
            <c:errValType val="cust"/>
            <c:plus>
              <c:numRef>
                <c:f>'[横板桥、宁乡试验数据(1)(2).xlsx]Sheet3'!$B$30:$F$30</c:f>
                <c:numCache>
                  <c:formatCode>General</c:formatCode>
                  <c:ptCount val="5"/>
                  <c:pt idx="0">
                    <c:v>0.30940000000000012</c:v>
                  </c:pt>
                  <c:pt idx="1">
                    <c:v>0.4037</c:v>
                  </c:pt>
                  <c:pt idx="2">
                    <c:v>0.48310000000000008</c:v>
                  </c:pt>
                  <c:pt idx="3">
                    <c:v>0.30940000000000012</c:v>
                  </c:pt>
                  <c:pt idx="4">
                    <c:v>0.32910000000000011</c:v>
                  </c:pt>
                </c:numCache>
              </c:numRef>
            </c:plus>
            <c:minus>
              <c:numRef>
                <c:f>'[横板桥、宁乡试验数据(1)(2).xlsx]Sheet3'!$B$30:$F$30</c:f>
                <c:numCache>
                  <c:formatCode>General</c:formatCode>
                  <c:ptCount val="5"/>
                  <c:pt idx="0">
                    <c:v>0.30940000000000012</c:v>
                  </c:pt>
                  <c:pt idx="1">
                    <c:v>0.4037</c:v>
                  </c:pt>
                  <c:pt idx="2">
                    <c:v>0.48310000000000008</c:v>
                  </c:pt>
                  <c:pt idx="3">
                    <c:v>0.30940000000000012</c:v>
                  </c:pt>
                  <c:pt idx="4">
                    <c:v>0.32910000000000011</c:v>
                  </c:pt>
                </c:numCache>
              </c:numRef>
            </c:minus>
            <c:spPr>
              <a:ln w="19050" cap="flat" cmpd="sng" algn="ctr">
                <a:solidFill>
                  <a:sysClr val="windowText" lastClr="000000">
                    <a:shade val="95000"/>
                    <a:satMod val="105000"/>
                  </a:sysClr>
                </a:solidFill>
                <a:prstDash val="solid"/>
                <a:round/>
              </a:ln>
            </c:spPr>
          </c:errBars>
          <c:cat>
            <c:strRef>
              <c:f>'[横板桥、宁乡试验数据(1)(2).xlsx]Sheet3'!$C$6:$G$6</c:f>
              <c:strCache>
                <c:ptCount val="5"/>
                <c:pt idx="0">
                  <c:v>移栽期</c:v>
                </c:pt>
                <c:pt idx="1">
                  <c:v>团棵期</c:v>
                </c:pt>
                <c:pt idx="2">
                  <c:v>旺长期</c:v>
                </c:pt>
                <c:pt idx="3">
                  <c:v>打顶期</c:v>
                </c:pt>
                <c:pt idx="4">
                  <c:v>成熟期</c:v>
                </c:pt>
              </c:strCache>
            </c:strRef>
          </c:cat>
          <c:val>
            <c:numRef>
              <c:f>'[横板桥、宁乡试验数据(1)(2).xlsx]Sheet3'!$C$8:$G$8</c:f>
              <c:numCache>
                <c:formatCode>0.00_ </c:formatCode>
                <c:ptCount val="5"/>
                <c:pt idx="0">
                  <c:v>6.3666666666666698</c:v>
                </c:pt>
                <c:pt idx="1">
                  <c:v>5.2666666666666702</c:v>
                </c:pt>
                <c:pt idx="2">
                  <c:v>8.5666666666666735</c:v>
                </c:pt>
                <c:pt idx="3">
                  <c:v>3.4666666666666694</c:v>
                </c:pt>
                <c:pt idx="4">
                  <c:v>7.5</c:v>
                </c:pt>
              </c:numCache>
            </c:numRef>
          </c:val>
        </c:ser>
        <c:ser>
          <c:idx val="2"/>
          <c:order val="2"/>
          <c:tx>
            <c:strRef>
              <c:f>'[横板桥、宁乡试验数据(1)(2).xlsx]Sheet3'!$B$9</c:f>
              <c:strCache>
                <c:ptCount val="1"/>
                <c:pt idx="0">
                  <c:v>处理2</c:v>
                </c:pt>
              </c:strCache>
            </c:strRef>
          </c:tx>
          <c:spPr>
            <a:pattFill prst="diagBrick">
              <a:fgClr>
                <a:srgbClr val="000000"/>
              </a:fgClr>
              <a:bgClr>
                <a:srgbClr val="FFFFFF"/>
              </a:bgClr>
            </a:pattFill>
            <a:ln>
              <a:solidFill>
                <a:srgbClr val="000000"/>
              </a:solidFill>
            </a:ln>
            <a:effectLst/>
          </c:spPr>
          <c:dLbls>
            <c:dLbl>
              <c:idx val="0"/>
              <c:tx>
                <c:rich>
                  <a:bodyPr/>
                  <a:lstStyle/>
                  <a:p>
                    <a:r>
                      <a:rPr lang="en-US" altLang="en-US" b="1" i="0" baseline="0"/>
                      <a:t>b</a:t>
                    </a:r>
                    <a:r>
                      <a:rPr lang="en-US" altLang="en-US"/>
                      <a:t>B</a:t>
                    </a:r>
                    <a:endParaRPr altLang="en-US"/>
                  </a:p>
                </c:rich>
              </c:tx>
              <c:dLblPos val="outEnd"/>
              <c:showVal val="1"/>
              <c:extLst>
                <c:ext xmlns:c15="http://schemas.microsoft.com/office/drawing/2012/chart" uri="{CE6537A1-D6FC-4f65-9D91-7224C49458BB}"/>
              </c:extLst>
            </c:dLbl>
            <c:dLbl>
              <c:idx val="1"/>
              <c:tx>
                <c:rich>
                  <a:bodyPr/>
                  <a:lstStyle/>
                  <a:p>
                    <a:r>
                      <a:rPr lang="en-US" altLang="en-US"/>
                      <a:t>bB</a:t>
                    </a:r>
                    <a:r>
                      <a:rPr altLang="en-US"/>
                      <a:t> </a:t>
                    </a:r>
                  </a:p>
                </c:rich>
              </c:tx>
              <c:dLblPos val="outEnd"/>
              <c:showVal val="1"/>
              <c:extLst>
                <c:ext xmlns:c15="http://schemas.microsoft.com/office/drawing/2012/chart" uri="{CE6537A1-D6FC-4f65-9D91-7224C49458BB}"/>
              </c:extLst>
            </c:dLbl>
            <c:dLbl>
              <c:idx val="2"/>
              <c:tx>
                <c:rich>
                  <a:bodyPr/>
                  <a:lstStyle/>
                  <a:p>
                    <a:r>
                      <a:rPr lang="en-US" altLang="en-US"/>
                      <a:t>cC</a:t>
                    </a:r>
                    <a:r>
                      <a:rPr altLang="en-US"/>
                      <a:t> </a:t>
                    </a:r>
                  </a:p>
                </c:rich>
              </c:tx>
              <c:dLblPos val="outEnd"/>
              <c:showVal val="1"/>
              <c:extLst>
                <c:ext xmlns:c15="http://schemas.microsoft.com/office/drawing/2012/chart" uri="{CE6537A1-D6FC-4f65-9D91-7224C49458BB}"/>
              </c:extLst>
            </c:dLbl>
            <c:dLbl>
              <c:idx val="3"/>
              <c:tx>
                <c:rich>
                  <a:bodyPr/>
                  <a:lstStyle/>
                  <a:p>
                    <a:r>
                      <a:rPr lang="en-US" altLang="en-US"/>
                      <a:t>bB</a:t>
                    </a:r>
                    <a:endParaRPr altLang="en-US"/>
                  </a:p>
                </c:rich>
              </c:tx>
              <c:dLblPos val="outEnd"/>
              <c:showVal val="1"/>
              <c:extLst>
                <c:ext xmlns:c15="http://schemas.microsoft.com/office/drawing/2012/chart" uri="{CE6537A1-D6FC-4f65-9D91-7224C49458BB}"/>
              </c:extLst>
            </c:dLbl>
            <c:dLbl>
              <c:idx val="4"/>
              <c:tx>
                <c:rich>
                  <a:bodyPr/>
                  <a:lstStyle/>
                  <a:p>
                    <a:r>
                      <a:rPr lang="en-US" altLang="en-US"/>
                      <a:t>bB</a:t>
                    </a:r>
                    <a:r>
                      <a:rPr altLang="en-US"/>
                      <a:t> </a:t>
                    </a:r>
                  </a:p>
                </c:rich>
              </c:tx>
              <c:dLblPos val="outEnd"/>
              <c:showVal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rgbClr val="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errBars>
            <c:errBarType val="both"/>
            <c:errValType val="cust"/>
            <c:plus>
              <c:numRef>
                <c:f>'[横板桥、宁乡试验数据(1)(2).xlsx]Sheet3'!$B$31:$F$31</c:f>
                <c:numCache>
                  <c:formatCode>General</c:formatCode>
                  <c:ptCount val="5"/>
                  <c:pt idx="0">
                    <c:v>0.38590000000000013</c:v>
                  </c:pt>
                  <c:pt idx="1">
                    <c:v>0.39362000000000014</c:v>
                  </c:pt>
                  <c:pt idx="2">
                    <c:v>0.3307500000000001</c:v>
                  </c:pt>
                  <c:pt idx="3">
                    <c:v>0.2859000000000001</c:v>
                  </c:pt>
                  <c:pt idx="4">
                    <c:v>0.19620000000000001</c:v>
                  </c:pt>
                </c:numCache>
              </c:numRef>
            </c:plus>
            <c:minus>
              <c:numRef>
                <c:f>'[横板桥、宁乡试验数据(1)(2).xlsx]Sheet3'!$B$31:$F$31</c:f>
                <c:numCache>
                  <c:formatCode>General</c:formatCode>
                  <c:ptCount val="5"/>
                  <c:pt idx="0">
                    <c:v>0.38590000000000013</c:v>
                  </c:pt>
                  <c:pt idx="1">
                    <c:v>0.39362000000000014</c:v>
                  </c:pt>
                  <c:pt idx="2">
                    <c:v>0.3307500000000001</c:v>
                  </c:pt>
                  <c:pt idx="3">
                    <c:v>0.2859000000000001</c:v>
                  </c:pt>
                  <c:pt idx="4">
                    <c:v>0.19620000000000001</c:v>
                  </c:pt>
                </c:numCache>
              </c:numRef>
            </c:minus>
            <c:spPr>
              <a:ln w="19050" cap="flat" cmpd="sng" algn="ctr">
                <a:solidFill>
                  <a:sysClr val="windowText" lastClr="000000">
                    <a:shade val="95000"/>
                    <a:satMod val="105000"/>
                  </a:sysClr>
                </a:solidFill>
                <a:prstDash val="solid"/>
                <a:round/>
              </a:ln>
            </c:spPr>
          </c:errBars>
          <c:cat>
            <c:strRef>
              <c:f>'[横板桥、宁乡试验数据(1)(2).xlsx]Sheet3'!$C$6:$G$6</c:f>
              <c:strCache>
                <c:ptCount val="5"/>
                <c:pt idx="0">
                  <c:v>移栽期</c:v>
                </c:pt>
                <c:pt idx="1">
                  <c:v>团棵期</c:v>
                </c:pt>
                <c:pt idx="2">
                  <c:v>旺长期</c:v>
                </c:pt>
                <c:pt idx="3">
                  <c:v>打顶期</c:v>
                </c:pt>
                <c:pt idx="4">
                  <c:v>成熟期</c:v>
                </c:pt>
              </c:strCache>
            </c:strRef>
          </c:cat>
          <c:val>
            <c:numRef>
              <c:f>'[横板桥、宁乡试验数据(1)(2).xlsx]Sheet3'!$C$9:$G$9</c:f>
              <c:numCache>
                <c:formatCode>0.00_ </c:formatCode>
                <c:ptCount val="5"/>
                <c:pt idx="0">
                  <c:v>5.9666666666666703</c:v>
                </c:pt>
                <c:pt idx="1">
                  <c:v>4.8</c:v>
                </c:pt>
                <c:pt idx="2">
                  <c:v>7.8666666666666698</c:v>
                </c:pt>
                <c:pt idx="3">
                  <c:v>2.6</c:v>
                </c:pt>
                <c:pt idx="4">
                  <c:v>6.9</c:v>
                </c:pt>
              </c:numCache>
            </c:numRef>
          </c:val>
        </c:ser>
        <c:ser>
          <c:idx val="3"/>
          <c:order val="3"/>
          <c:tx>
            <c:strRef>
              <c:f>'[横板桥、宁乡试验数据(1)(2).xlsx]Sheet3'!$B$10</c:f>
              <c:strCache>
                <c:ptCount val="1"/>
                <c:pt idx="0">
                  <c:v>处理3</c:v>
                </c:pt>
              </c:strCache>
            </c:strRef>
          </c:tx>
          <c:spPr>
            <a:pattFill prst="dashVert">
              <a:fgClr>
                <a:srgbClr val="000000"/>
              </a:fgClr>
              <a:bgClr>
                <a:srgbClr val="FFFFFF"/>
              </a:bgClr>
            </a:pattFill>
            <a:ln>
              <a:solidFill>
                <a:srgbClr val="000000"/>
              </a:solidFill>
            </a:ln>
            <a:effectLst/>
          </c:spPr>
          <c:dLbls>
            <c:dLbl>
              <c:idx val="0"/>
              <c:tx>
                <c:rich>
                  <a:bodyPr/>
                  <a:lstStyle/>
                  <a:p>
                    <a:r>
                      <a:rPr lang="en-US" altLang="en-US" b="1" i="0" baseline="0"/>
                      <a:t>a</a:t>
                    </a:r>
                    <a:r>
                      <a:rPr lang="en-US" altLang="en-US"/>
                      <a:t>A</a:t>
                    </a:r>
                    <a:endParaRPr altLang="en-US"/>
                  </a:p>
                </c:rich>
              </c:tx>
              <c:dLblPos val="outEnd"/>
              <c:showVal val="1"/>
              <c:extLst>
                <c:ext xmlns:c15="http://schemas.microsoft.com/office/drawing/2012/chart" uri="{CE6537A1-D6FC-4f65-9D91-7224C49458BB}"/>
              </c:extLst>
            </c:dLbl>
            <c:dLbl>
              <c:idx val="1"/>
              <c:tx>
                <c:rich>
                  <a:bodyPr/>
                  <a:lstStyle/>
                  <a:p>
                    <a:r>
                      <a:rPr lang="en-US" altLang="en-US"/>
                      <a:t>aA</a:t>
                    </a:r>
                    <a:r>
                      <a:rPr altLang="en-US"/>
                      <a:t> </a:t>
                    </a:r>
                  </a:p>
                </c:rich>
              </c:tx>
              <c:dLblPos val="outEnd"/>
              <c:showVal val="1"/>
              <c:extLst>
                <c:ext xmlns:c15="http://schemas.microsoft.com/office/drawing/2012/chart" uri="{CE6537A1-D6FC-4f65-9D91-7224C49458BB}"/>
              </c:extLst>
            </c:dLbl>
            <c:dLbl>
              <c:idx val="2"/>
              <c:tx>
                <c:rich>
                  <a:bodyPr/>
                  <a:lstStyle/>
                  <a:p>
                    <a:r>
                      <a:rPr lang="en-US" altLang="en-US"/>
                      <a:t>aA</a:t>
                    </a:r>
                    <a:endParaRPr altLang="en-US"/>
                  </a:p>
                </c:rich>
              </c:tx>
              <c:dLblPos val="outEnd"/>
              <c:showVal val="1"/>
              <c:extLst>
                <c:ext xmlns:c15="http://schemas.microsoft.com/office/drawing/2012/chart" uri="{CE6537A1-D6FC-4f65-9D91-7224C49458BB}"/>
              </c:extLst>
            </c:dLbl>
            <c:dLbl>
              <c:idx val="3"/>
              <c:tx>
                <c:rich>
                  <a:bodyPr/>
                  <a:lstStyle/>
                  <a:p>
                    <a:r>
                      <a:rPr lang="en-US" altLang="en-US"/>
                      <a:t>aA</a:t>
                    </a:r>
                    <a:r>
                      <a:rPr altLang="en-US"/>
                      <a:t> </a:t>
                    </a:r>
                  </a:p>
                </c:rich>
              </c:tx>
              <c:dLblPos val="outEnd"/>
              <c:showVal val="1"/>
              <c:extLst>
                <c:ext xmlns:c15="http://schemas.microsoft.com/office/drawing/2012/chart" uri="{CE6537A1-D6FC-4f65-9D91-7224C49458BB}"/>
              </c:extLst>
            </c:dLbl>
            <c:dLbl>
              <c:idx val="4"/>
              <c:tx>
                <c:rich>
                  <a:bodyPr/>
                  <a:lstStyle/>
                  <a:p>
                    <a:r>
                      <a:rPr lang="en-US" altLang="en-US"/>
                      <a:t>aA</a:t>
                    </a:r>
                    <a:r>
                      <a:rPr altLang="en-US"/>
                      <a:t> </a:t>
                    </a:r>
                  </a:p>
                </c:rich>
              </c:tx>
              <c:dLblPos val="outEnd"/>
              <c:showVal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rgbClr val="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errBars>
            <c:errBarType val="both"/>
            <c:errValType val="cust"/>
            <c:plus>
              <c:numRef>
                <c:f>'[横板桥、宁乡试验数据(1)(2).xlsx]Sheet3'!$B$32:$F$32</c:f>
                <c:numCache>
                  <c:formatCode>General</c:formatCode>
                  <c:ptCount val="5"/>
                  <c:pt idx="0">
                    <c:v>0.21880000000000005</c:v>
                  </c:pt>
                  <c:pt idx="1">
                    <c:v>0.48310000000000008</c:v>
                  </c:pt>
                  <c:pt idx="2">
                    <c:v>0.56590000000000018</c:v>
                  </c:pt>
                  <c:pt idx="3">
                    <c:v>0.21880000000000005</c:v>
                  </c:pt>
                  <c:pt idx="4">
                    <c:v>0.45300000000000001</c:v>
                  </c:pt>
                </c:numCache>
              </c:numRef>
            </c:plus>
            <c:minus>
              <c:numRef>
                <c:f>'[横板桥、宁乡试验数据(1)(2).xlsx]Sheet3'!$B$32:$F$32</c:f>
                <c:numCache>
                  <c:formatCode>General</c:formatCode>
                  <c:ptCount val="5"/>
                  <c:pt idx="0">
                    <c:v>0.21880000000000005</c:v>
                  </c:pt>
                  <c:pt idx="1">
                    <c:v>0.48310000000000008</c:v>
                  </c:pt>
                  <c:pt idx="2">
                    <c:v>0.56590000000000018</c:v>
                  </c:pt>
                  <c:pt idx="3">
                    <c:v>0.21880000000000005</c:v>
                  </c:pt>
                  <c:pt idx="4">
                    <c:v>0.45300000000000001</c:v>
                  </c:pt>
                </c:numCache>
              </c:numRef>
            </c:minus>
            <c:spPr>
              <a:ln w="19050" cap="flat" cmpd="sng" algn="ctr">
                <a:solidFill>
                  <a:srgbClr val="000000">
                    <a:shade val="95000"/>
                    <a:satMod val="105000"/>
                  </a:srgbClr>
                </a:solidFill>
                <a:prstDash val="solid"/>
                <a:round/>
              </a:ln>
            </c:spPr>
          </c:errBars>
          <c:cat>
            <c:strRef>
              <c:f>'[横板桥、宁乡试验数据(1)(2).xlsx]Sheet3'!$C$6:$G$6</c:f>
              <c:strCache>
                <c:ptCount val="5"/>
                <c:pt idx="0">
                  <c:v>移栽期</c:v>
                </c:pt>
                <c:pt idx="1">
                  <c:v>团棵期</c:v>
                </c:pt>
                <c:pt idx="2">
                  <c:v>旺长期</c:v>
                </c:pt>
                <c:pt idx="3">
                  <c:v>打顶期</c:v>
                </c:pt>
                <c:pt idx="4">
                  <c:v>成熟期</c:v>
                </c:pt>
              </c:strCache>
            </c:strRef>
          </c:cat>
          <c:val>
            <c:numRef>
              <c:f>'[横板桥、宁乡试验数据(1)(2).xlsx]Sheet3'!$C$10:$G$10</c:f>
              <c:numCache>
                <c:formatCode>0.00_ </c:formatCode>
                <c:ptCount val="5"/>
                <c:pt idx="0">
                  <c:v>7.2333333333333334</c:v>
                </c:pt>
                <c:pt idx="1">
                  <c:v>5.8666666666666698</c:v>
                </c:pt>
                <c:pt idx="2">
                  <c:v>11</c:v>
                </c:pt>
                <c:pt idx="3">
                  <c:v>3.9</c:v>
                </c:pt>
                <c:pt idx="4">
                  <c:v>8.5333333333333279</c:v>
                </c:pt>
              </c:numCache>
            </c:numRef>
          </c:val>
        </c:ser>
        <c:dLbls>
          <c:showVal val="1"/>
        </c:dLbls>
        <c:gapWidth val="219"/>
        <c:overlap val="-27"/>
        <c:axId val="268268288"/>
        <c:axId val="268270208"/>
      </c:barChart>
      <c:catAx>
        <c:axId val="268268288"/>
        <c:scaling>
          <c:orientation val="minMax"/>
        </c:scaling>
        <c:axPos val="b"/>
        <c:title>
          <c:tx>
            <c:rich>
              <a:bodyPr rot="0" spcFirstLastPara="0" vertOverflow="ellipsis" vert="horz" wrap="square" anchor="ctr" anchorCtr="1"/>
              <a:lstStyle/>
              <a:p>
                <a:pPr>
                  <a:defRPr lang="zh-CN" sz="1000" b="1" i="0" u="none" strike="noStrike" kern="1200" baseline="0">
                    <a:solidFill>
                      <a:srgbClr val="000000"/>
                    </a:solidFill>
                    <a:latin typeface="+mn-lt"/>
                    <a:ea typeface="+mn-ea"/>
                    <a:cs typeface="+mn-cs"/>
                  </a:defRPr>
                </a:pPr>
                <a:r>
                  <a:rPr lang="zh-CN"/>
                  <a:t>烤烟大田生育期</a:t>
                </a:r>
              </a:p>
            </c:rich>
          </c:tx>
        </c:title>
        <c:majorTickMark val="none"/>
        <c:tickLblPos val="nextTo"/>
        <c:spPr>
          <a:noFill/>
          <a:ln w="19050" cap="flat" cmpd="sng" algn="ctr">
            <a:solidFill>
              <a:srgbClr val="000000"/>
            </a:solidFill>
            <a:prstDash val="solid"/>
            <a:round/>
          </a:ln>
          <a:effectLst/>
        </c:spPr>
        <c:txPr>
          <a:bodyPr rot="-60000000" spcFirstLastPara="0" vertOverflow="ellipsis" vert="horz" wrap="square" anchor="ctr" anchorCtr="1"/>
          <a:lstStyle/>
          <a:p>
            <a:pPr>
              <a:defRPr lang="zh-CN" sz="1000" b="1" i="0" u="none" strike="noStrike" kern="1200" baseline="0">
                <a:solidFill>
                  <a:srgbClr val="000000"/>
                </a:solidFill>
                <a:latin typeface="+mn-lt"/>
                <a:ea typeface="+mn-ea"/>
                <a:cs typeface="+mn-cs"/>
              </a:defRPr>
            </a:pPr>
            <a:endParaRPr lang="zh-CN"/>
          </a:p>
        </c:txPr>
        <c:crossAx val="268270208"/>
        <c:crosses val="autoZero"/>
        <c:auto val="1"/>
        <c:lblAlgn val="ctr"/>
        <c:lblOffset val="100"/>
      </c:catAx>
      <c:valAx>
        <c:axId val="268270208"/>
        <c:scaling>
          <c:orientation val="minMax"/>
        </c:scaling>
        <c:axPos val="l"/>
        <c:title>
          <c:tx>
            <c:rich>
              <a:bodyPr rot="-5400000" spcFirstLastPara="0" vertOverflow="ellipsis" vert="horz" wrap="square" anchor="ctr" anchorCtr="1"/>
              <a:lstStyle/>
              <a:p>
                <a:pPr>
                  <a:defRPr lang="zh-CN" sz="1000" b="1" i="0" u="none" strike="noStrike" kern="1200" baseline="0">
                    <a:solidFill>
                      <a:srgbClr val="000000"/>
                    </a:solidFill>
                    <a:latin typeface="+mn-lt"/>
                    <a:ea typeface="+mn-ea"/>
                    <a:cs typeface="+mn-cs"/>
                  </a:defRPr>
                </a:pPr>
                <a:r>
                  <a:rPr lang="en-US"/>
                  <a:t>CAT/(</a:t>
                </a:r>
                <a:r>
                  <a:rPr lang="el-GR"/>
                  <a:t>Δ</a:t>
                </a:r>
                <a:r>
                  <a:rPr lang="en-US"/>
                  <a:t>A240·g</a:t>
                </a:r>
                <a:r>
                  <a:rPr lang="en-US" baseline="30000">
                    <a:solidFill>
                      <a:srgbClr val="000000"/>
                    </a:solidFill>
                    <a:uFillTx/>
                  </a:rPr>
                  <a:t>-1</a:t>
                </a:r>
                <a:r>
                  <a:rPr lang="en-US"/>
                  <a:t>·min</a:t>
                </a:r>
                <a:r>
                  <a:rPr lang="en-US" baseline="30000">
                    <a:solidFill>
                      <a:srgbClr val="000000"/>
                    </a:solidFill>
                    <a:uFillTx/>
                  </a:rPr>
                  <a:t>-1</a:t>
                </a:r>
                <a:r>
                  <a:rPr lang="en-US"/>
                  <a:t>)</a:t>
                </a:r>
                <a:endParaRPr lang="zh-CN"/>
              </a:p>
            </c:rich>
          </c:tx>
        </c:title>
        <c:numFmt formatCode="#,##0;\-#,##0" sourceLinked="0"/>
        <c:majorTickMark val="in"/>
        <c:tickLblPos val="nextTo"/>
        <c:spPr>
          <a:noFill/>
          <a:ln w="19050" cap="flat" cmpd="sng" algn="ctr">
            <a:solidFill>
              <a:srgbClr val="000000"/>
            </a:solidFill>
            <a:prstDash val="solid"/>
            <a:round/>
          </a:ln>
          <a:effectLst/>
        </c:spPr>
        <c:txPr>
          <a:bodyPr rot="-60000000" spcFirstLastPara="0" vertOverflow="ellipsis" vert="horz" wrap="square" anchor="ctr" anchorCtr="1"/>
          <a:lstStyle/>
          <a:p>
            <a:pPr>
              <a:defRPr lang="zh-CN" sz="1000" b="1" i="0" u="none" strike="noStrike" kern="1200" baseline="0">
                <a:solidFill>
                  <a:srgbClr val="000000"/>
                </a:solidFill>
                <a:latin typeface="+mn-lt"/>
                <a:ea typeface="+mn-ea"/>
                <a:cs typeface="+mn-cs"/>
              </a:defRPr>
            </a:pPr>
            <a:endParaRPr lang="zh-CN"/>
          </a:p>
        </c:txPr>
        <c:crossAx val="268268288"/>
        <c:crosses val="autoZero"/>
        <c:crossBetween val="between"/>
      </c:valAx>
      <c:spPr>
        <a:noFill/>
        <a:ln w="25400">
          <a:noFill/>
        </a:ln>
        <a:effectLst/>
      </c:spPr>
    </c:plotArea>
    <c:legend>
      <c:legendPos val="b"/>
      <c:layout>
        <c:manualLayout>
          <c:xMode val="edge"/>
          <c:yMode val="edge"/>
          <c:x val="0.11229327209199204"/>
          <c:y val="2.4406051185349404E-2"/>
          <c:w val="0.83734698319264678"/>
          <c:h val="0.10180754104766"/>
        </c:manualLayout>
      </c:layout>
      <c:spPr>
        <a:noFill/>
        <a:ln>
          <a:noFill/>
        </a:ln>
        <a:effectLst/>
      </c:spPr>
      <c:txPr>
        <a:bodyPr rot="0" spcFirstLastPara="0" vertOverflow="ellipsis" vert="horz" wrap="square" anchor="ctr" anchorCtr="1"/>
        <a:lstStyle/>
        <a:p>
          <a:pPr>
            <a:defRPr lang="zh-CN" sz="1000" b="1" i="0" u="none" strike="noStrike" kern="1200" baseline="0">
              <a:solidFill>
                <a:srgbClr val="000000"/>
              </a:solidFill>
              <a:latin typeface="+mn-lt"/>
              <a:ea typeface="+mn-ea"/>
              <a:cs typeface="+mn-cs"/>
            </a:defRPr>
          </a:pPr>
          <a:endParaRPr lang="zh-CN"/>
        </a:p>
      </c:txPr>
    </c:legend>
    <c:plotVisOnly val="1"/>
    <c:dispBlanksAs val="gap"/>
  </c:chart>
  <c:spPr>
    <a:solidFill>
      <a:srgbClr val="FFFFFF"/>
    </a:solidFill>
    <a:ln w="9525" cap="flat" cmpd="sng" algn="ctr">
      <a:solidFill>
        <a:srgbClr val="D9D9D9">
          <a:lumMod val="15000"/>
          <a:lumOff val="85000"/>
        </a:srgbClr>
      </a:solidFill>
      <a:prstDash val="solid"/>
      <a:round/>
    </a:ln>
    <a:effectLst/>
  </c:spPr>
  <c:txPr>
    <a:bodyPr/>
    <a:lstStyle/>
    <a:p>
      <a:pPr>
        <a:defRPr lang="zh-CN" baseline="0">
          <a:solidFill>
            <a:srgbClr val="000000"/>
          </a:solidFill>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1236569967118602"/>
          <c:y val="0.108427830016394"/>
          <c:w val="0.86240204892383598"/>
          <c:h val="0.67620254992397799"/>
        </c:manualLayout>
      </c:layout>
      <c:barChart>
        <c:barDir val="col"/>
        <c:grouping val="clustered"/>
        <c:ser>
          <c:idx val="0"/>
          <c:order val="0"/>
          <c:tx>
            <c:strRef>
              <c:f>'[横板桥、宁乡试验数据(1)(2).xlsx]Sheet4'!$B$4</c:f>
              <c:strCache>
                <c:ptCount val="1"/>
                <c:pt idx="0">
                  <c:v>CK</c:v>
                </c:pt>
              </c:strCache>
            </c:strRef>
          </c:tx>
          <c:spPr>
            <a:pattFill prst="dashHorz">
              <a:fgClr>
                <a:srgbClr val="000000"/>
              </a:fgClr>
              <a:bgClr>
                <a:srgbClr val="FFFFFF"/>
              </a:bgClr>
            </a:pattFill>
            <a:ln>
              <a:solidFill>
                <a:srgbClr val="000000"/>
              </a:solidFill>
            </a:ln>
            <a:effectLst/>
          </c:spPr>
          <c:dLbls>
            <c:dLbl>
              <c:idx val="0"/>
              <c:tx>
                <c:rich>
                  <a:bodyPr/>
                  <a:lstStyle/>
                  <a:p>
                    <a:r>
                      <a:rPr lang="en-US" altLang="en-US"/>
                      <a:t>bB</a:t>
                    </a:r>
                    <a:endParaRPr altLang="en-US"/>
                  </a:p>
                </c:rich>
              </c:tx>
              <c:dLblPos val="outEnd"/>
              <c:showVal val="1"/>
              <c:extLst>
                <c:ext xmlns:c15="http://schemas.microsoft.com/office/drawing/2012/chart" uri="{CE6537A1-D6FC-4f65-9D91-7224C49458BB}"/>
              </c:extLst>
            </c:dLbl>
            <c:dLbl>
              <c:idx val="1"/>
              <c:tx>
                <c:rich>
                  <a:bodyPr/>
                  <a:lstStyle/>
                  <a:p>
                    <a:r>
                      <a:rPr lang="en-US" altLang="en-US"/>
                      <a:t>cC</a:t>
                    </a:r>
                    <a:r>
                      <a:rPr altLang="en-US"/>
                      <a:t> </a:t>
                    </a:r>
                  </a:p>
                </c:rich>
              </c:tx>
              <c:dLblPos val="outEnd"/>
              <c:showVal val="1"/>
              <c:extLst>
                <c:ext xmlns:c15="http://schemas.microsoft.com/office/drawing/2012/chart" uri="{CE6537A1-D6FC-4f65-9D91-7224C49458BB}"/>
              </c:extLst>
            </c:dLbl>
            <c:dLbl>
              <c:idx val="2"/>
              <c:tx>
                <c:rich>
                  <a:bodyPr/>
                  <a:lstStyle/>
                  <a:p>
                    <a:r>
                      <a:rPr lang="en-US" altLang="en-US"/>
                      <a:t>cdC</a:t>
                    </a:r>
                    <a:r>
                      <a:rPr altLang="en-US"/>
                      <a:t> </a:t>
                    </a:r>
                  </a:p>
                </c:rich>
              </c:tx>
              <c:dLblPos val="outEnd"/>
              <c:showVal val="1"/>
              <c:extLst>
                <c:ext xmlns:c15="http://schemas.microsoft.com/office/drawing/2012/chart" uri="{CE6537A1-D6FC-4f65-9D91-7224C49458BB}"/>
              </c:extLst>
            </c:dLbl>
            <c:dLbl>
              <c:idx val="3"/>
              <c:tx>
                <c:rich>
                  <a:bodyPr/>
                  <a:lstStyle/>
                  <a:p>
                    <a:r>
                      <a:rPr lang="en-US" altLang="en-US"/>
                      <a:t>cdC</a:t>
                    </a:r>
                    <a:endParaRPr altLang="en-US"/>
                  </a:p>
                </c:rich>
              </c:tx>
              <c:dLblPos val="outEnd"/>
              <c:showVal val="1"/>
              <c:extLst>
                <c:ext xmlns:c15="http://schemas.microsoft.com/office/drawing/2012/chart" uri="{CE6537A1-D6FC-4f65-9D91-7224C49458BB}"/>
              </c:extLst>
            </c:dLbl>
            <c:dLbl>
              <c:idx val="4"/>
              <c:tx>
                <c:rich>
                  <a:bodyPr/>
                  <a:lstStyle/>
                  <a:p>
                    <a:r>
                      <a:rPr lang="en-US" altLang="en-US"/>
                      <a:t>cC</a:t>
                    </a:r>
                    <a:r>
                      <a:rPr altLang="en-US"/>
                      <a:t> </a:t>
                    </a:r>
                  </a:p>
                </c:rich>
              </c:tx>
              <c:dLblPos val="outEnd"/>
              <c:showVal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rgbClr val="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errBars>
            <c:errBarType val="both"/>
            <c:errValType val="cust"/>
            <c:plus>
              <c:numRef>
                <c:f>'[横板桥、宁乡试验数据(1)(2).xlsx]Sheet4'!$B$30:$F$30</c:f>
                <c:numCache>
                  <c:formatCode>General</c:formatCode>
                  <c:ptCount val="5"/>
                  <c:pt idx="0">
                    <c:v>1.3332999999999997</c:v>
                  </c:pt>
                  <c:pt idx="1">
                    <c:v>1.2145999999999997</c:v>
                  </c:pt>
                  <c:pt idx="2">
                    <c:v>1.3509</c:v>
                  </c:pt>
                  <c:pt idx="3">
                    <c:v>1.3332999999999997</c:v>
                  </c:pt>
                  <c:pt idx="4">
                    <c:v>1.1962000000000004</c:v>
                  </c:pt>
                </c:numCache>
              </c:numRef>
            </c:plus>
            <c:minus>
              <c:numRef>
                <c:f>'[横板桥、宁乡试验数据(1)(2).xlsx]Sheet4'!$B$30:$F$30</c:f>
                <c:numCache>
                  <c:formatCode>General</c:formatCode>
                  <c:ptCount val="5"/>
                  <c:pt idx="0">
                    <c:v>1.3332999999999997</c:v>
                  </c:pt>
                  <c:pt idx="1">
                    <c:v>1.2145999999999997</c:v>
                  </c:pt>
                  <c:pt idx="2">
                    <c:v>1.3509</c:v>
                  </c:pt>
                  <c:pt idx="3">
                    <c:v>1.3332999999999997</c:v>
                  </c:pt>
                  <c:pt idx="4">
                    <c:v>1.1962000000000004</c:v>
                  </c:pt>
                </c:numCache>
              </c:numRef>
            </c:minus>
            <c:spPr>
              <a:ln w="19050" cap="flat" cmpd="sng" algn="ctr">
                <a:solidFill>
                  <a:sysClr val="windowText" lastClr="000000"/>
                </a:solidFill>
                <a:prstDash val="solid"/>
                <a:round/>
              </a:ln>
            </c:spPr>
          </c:errBars>
          <c:cat>
            <c:strRef>
              <c:f>'[横板桥、宁乡试验数据(1)(2).xlsx]Sheet4'!$C$3:$G$3</c:f>
              <c:strCache>
                <c:ptCount val="5"/>
                <c:pt idx="0">
                  <c:v>移栽期</c:v>
                </c:pt>
                <c:pt idx="1">
                  <c:v>团棵期</c:v>
                </c:pt>
                <c:pt idx="2">
                  <c:v>旺长期</c:v>
                </c:pt>
                <c:pt idx="3">
                  <c:v>打顶期</c:v>
                </c:pt>
                <c:pt idx="4">
                  <c:v>成熟期</c:v>
                </c:pt>
              </c:strCache>
            </c:strRef>
          </c:cat>
          <c:val>
            <c:numRef>
              <c:f>'[横板桥、宁乡试验数据(1)(2).xlsx]Sheet4'!$C$4:$G$4</c:f>
              <c:numCache>
                <c:formatCode>0.00_ </c:formatCode>
                <c:ptCount val="5"/>
                <c:pt idx="0">
                  <c:v>8.3333333333333304</c:v>
                </c:pt>
                <c:pt idx="1">
                  <c:v>12.233333333333299</c:v>
                </c:pt>
                <c:pt idx="2">
                  <c:v>22.833333333333286</c:v>
                </c:pt>
                <c:pt idx="3">
                  <c:v>15</c:v>
                </c:pt>
                <c:pt idx="4">
                  <c:v>7</c:v>
                </c:pt>
              </c:numCache>
            </c:numRef>
          </c:val>
        </c:ser>
        <c:ser>
          <c:idx val="1"/>
          <c:order val="1"/>
          <c:tx>
            <c:strRef>
              <c:f>'[横板桥、宁乡试验数据(1)(2).xlsx]Sheet4'!$B$5</c:f>
              <c:strCache>
                <c:ptCount val="1"/>
                <c:pt idx="0">
                  <c:v>处理1</c:v>
                </c:pt>
              </c:strCache>
            </c:strRef>
          </c:tx>
          <c:spPr>
            <a:pattFill prst="horzBrick">
              <a:fgClr>
                <a:srgbClr val="000000"/>
              </a:fgClr>
              <a:bgClr>
                <a:srgbClr val="FFFFFF"/>
              </a:bgClr>
            </a:pattFill>
            <a:ln>
              <a:solidFill>
                <a:srgbClr val="000000"/>
              </a:solidFill>
            </a:ln>
            <a:effectLst/>
          </c:spPr>
          <c:dLbls>
            <c:dLbl>
              <c:idx val="0"/>
              <c:tx>
                <c:rich>
                  <a:bodyPr/>
                  <a:lstStyle/>
                  <a:p>
                    <a:r>
                      <a:rPr lang="en-US" altLang="en-US"/>
                      <a:t>abA</a:t>
                    </a:r>
                    <a:endParaRPr altLang="en-US"/>
                  </a:p>
                </c:rich>
              </c:tx>
              <c:dLblPos val="outEnd"/>
              <c:showVal val="1"/>
              <c:extLst>
                <c:ext xmlns:c15="http://schemas.microsoft.com/office/drawing/2012/chart" uri="{CE6537A1-D6FC-4f65-9D91-7224C49458BB}"/>
              </c:extLst>
            </c:dLbl>
            <c:dLbl>
              <c:idx val="1"/>
              <c:tx>
                <c:rich>
                  <a:bodyPr/>
                  <a:lstStyle/>
                  <a:p>
                    <a:r>
                      <a:rPr lang="en-US" altLang="en-US"/>
                      <a:t>abA</a:t>
                    </a:r>
                    <a:r>
                      <a:rPr altLang="en-US"/>
                      <a:t> </a:t>
                    </a:r>
                  </a:p>
                </c:rich>
              </c:tx>
              <c:dLblPos val="outEnd"/>
              <c:showVal val="1"/>
              <c:extLst>
                <c:ext xmlns:c15="http://schemas.microsoft.com/office/drawing/2012/chart" uri="{CE6537A1-D6FC-4f65-9D91-7224C49458BB}"/>
              </c:extLst>
            </c:dLbl>
            <c:dLbl>
              <c:idx val="2"/>
              <c:tx>
                <c:rich>
                  <a:bodyPr/>
                  <a:lstStyle/>
                  <a:p>
                    <a:r>
                      <a:rPr lang="en-US" altLang="en-US"/>
                      <a:t>bB</a:t>
                    </a:r>
                    <a:r>
                      <a:rPr altLang="en-US"/>
                      <a:t> </a:t>
                    </a:r>
                  </a:p>
                </c:rich>
              </c:tx>
              <c:dLblPos val="outEnd"/>
              <c:showVal val="1"/>
              <c:extLst>
                <c:ext xmlns:c15="http://schemas.microsoft.com/office/drawing/2012/chart" uri="{CE6537A1-D6FC-4f65-9D91-7224C49458BB}"/>
              </c:extLst>
            </c:dLbl>
            <c:dLbl>
              <c:idx val="3"/>
              <c:tx>
                <c:rich>
                  <a:bodyPr/>
                  <a:lstStyle/>
                  <a:p>
                    <a:r>
                      <a:rPr lang="en-US" altLang="en-US"/>
                      <a:t>bB</a:t>
                    </a:r>
                    <a:r>
                      <a:rPr altLang="en-US"/>
                      <a:t> </a:t>
                    </a:r>
                  </a:p>
                </c:rich>
              </c:tx>
              <c:dLblPos val="outEnd"/>
              <c:showVal val="1"/>
              <c:extLst>
                <c:ext xmlns:c15="http://schemas.microsoft.com/office/drawing/2012/chart" uri="{CE6537A1-D6FC-4f65-9D91-7224C49458BB}"/>
              </c:extLst>
            </c:dLbl>
            <c:dLbl>
              <c:idx val="4"/>
              <c:tx>
                <c:rich>
                  <a:bodyPr/>
                  <a:lstStyle/>
                  <a:p>
                    <a:r>
                      <a:rPr lang="en-US" altLang="en-US"/>
                      <a:t>abA</a:t>
                    </a:r>
                    <a:endParaRPr altLang="en-US"/>
                  </a:p>
                </c:rich>
              </c:tx>
              <c:dLblPos val="outEnd"/>
              <c:showVal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rgbClr val="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errBars>
            <c:errBarType val="both"/>
            <c:errValType val="cust"/>
            <c:plus>
              <c:numRef>
                <c:f>'[横板桥、宁乡试验数据(1)(2).xlsx]Sheet4'!$B$31:$F$31</c:f>
                <c:numCache>
                  <c:formatCode>General</c:formatCode>
                  <c:ptCount val="5"/>
                  <c:pt idx="0">
                    <c:v>1.3093999999999997</c:v>
                  </c:pt>
                  <c:pt idx="1">
                    <c:v>1.4036999999999993</c:v>
                  </c:pt>
                  <c:pt idx="2">
                    <c:v>1.4830999999999996</c:v>
                  </c:pt>
                  <c:pt idx="3">
                    <c:v>1.3093999999999997</c:v>
                  </c:pt>
                  <c:pt idx="4">
                    <c:v>1.3290999999999997</c:v>
                  </c:pt>
                </c:numCache>
              </c:numRef>
            </c:plus>
            <c:minus>
              <c:numRef>
                <c:f>'[横板桥、宁乡试验数据(1)(2).xlsx]Sheet4'!$B$31:$F$31</c:f>
                <c:numCache>
                  <c:formatCode>General</c:formatCode>
                  <c:ptCount val="5"/>
                  <c:pt idx="0">
                    <c:v>1.3093999999999997</c:v>
                  </c:pt>
                  <c:pt idx="1">
                    <c:v>1.4036999999999993</c:v>
                  </c:pt>
                  <c:pt idx="2">
                    <c:v>1.4830999999999996</c:v>
                  </c:pt>
                  <c:pt idx="3">
                    <c:v>1.3093999999999997</c:v>
                  </c:pt>
                  <c:pt idx="4">
                    <c:v>1.3290999999999997</c:v>
                  </c:pt>
                </c:numCache>
              </c:numRef>
            </c:minus>
            <c:spPr>
              <a:ln w="19050" cap="flat" cmpd="sng" algn="ctr">
                <a:solidFill>
                  <a:srgbClr val="000000">
                    <a:shade val="95000"/>
                    <a:satMod val="105000"/>
                  </a:srgbClr>
                </a:solidFill>
                <a:prstDash val="solid"/>
                <a:round/>
              </a:ln>
            </c:spPr>
          </c:errBars>
          <c:cat>
            <c:strRef>
              <c:f>'[横板桥、宁乡试验数据(1)(2).xlsx]Sheet4'!$C$3:$G$3</c:f>
              <c:strCache>
                <c:ptCount val="5"/>
                <c:pt idx="0">
                  <c:v>移栽期</c:v>
                </c:pt>
                <c:pt idx="1">
                  <c:v>团棵期</c:v>
                </c:pt>
                <c:pt idx="2">
                  <c:v>旺长期</c:v>
                </c:pt>
                <c:pt idx="3">
                  <c:v>打顶期</c:v>
                </c:pt>
                <c:pt idx="4">
                  <c:v>成熟期</c:v>
                </c:pt>
              </c:strCache>
            </c:strRef>
          </c:cat>
          <c:val>
            <c:numRef>
              <c:f>'[横板桥、宁乡试验数据(1)(2).xlsx]Sheet4'!$C$5:$G$5</c:f>
              <c:numCache>
                <c:formatCode>0.00_ </c:formatCode>
                <c:ptCount val="5"/>
                <c:pt idx="0">
                  <c:v>10.6</c:v>
                </c:pt>
                <c:pt idx="1">
                  <c:v>16.1666666666667</c:v>
                </c:pt>
                <c:pt idx="2">
                  <c:v>31.333333333333286</c:v>
                </c:pt>
                <c:pt idx="3">
                  <c:v>22</c:v>
                </c:pt>
                <c:pt idx="4">
                  <c:v>12.666666666666703</c:v>
                </c:pt>
              </c:numCache>
            </c:numRef>
          </c:val>
        </c:ser>
        <c:ser>
          <c:idx val="2"/>
          <c:order val="2"/>
          <c:tx>
            <c:strRef>
              <c:f>'[横板桥、宁乡试验数据(1)(2).xlsx]Sheet4'!$B$6</c:f>
              <c:strCache>
                <c:ptCount val="1"/>
                <c:pt idx="0">
                  <c:v>处理2</c:v>
                </c:pt>
              </c:strCache>
            </c:strRef>
          </c:tx>
          <c:spPr>
            <a:pattFill prst="diagBrick">
              <a:fgClr>
                <a:srgbClr val="000000"/>
              </a:fgClr>
              <a:bgClr>
                <a:srgbClr val="FFFFFF"/>
              </a:bgClr>
            </a:pattFill>
            <a:ln>
              <a:solidFill>
                <a:srgbClr val="000000"/>
              </a:solidFill>
            </a:ln>
            <a:effectLst/>
          </c:spPr>
          <c:dLbls>
            <c:dLbl>
              <c:idx val="0"/>
              <c:tx>
                <c:rich>
                  <a:bodyPr/>
                  <a:lstStyle/>
                  <a:p>
                    <a:r>
                      <a:rPr lang="en-US" altLang="en-US"/>
                      <a:t>bB</a:t>
                    </a:r>
                    <a:r>
                      <a:rPr altLang="en-US"/>
                      <a:t> </a:t>
                    </a:r>
                  </a:p>
                </c:rich>
              </c:tx>
              <c:dLblPos val="outEnd"/>
              <c:showVal val="1"/>
              <c:extLst>
                <c:ext xmlns:c15="http://schemas.microsoft.com/office/drawing/2012/chart" uri="{CE6537A1-D6FC-4f65-9D91-7224C49458BB}"/>
              </c:extLst>
            </c:dLbl>
            <c:dLbl>
              <c:idx val="1"/>
              <c:tx>
                <c:rich>
                  <a:bodyPr/>
                  <a:lstStyle/>
                  <a:p>
                    <a:r>
                      <a:rPr lang="en-US" altLang="en-US"/>
                      <a:t>bB</a:t>
                    </a:r>
                    <a:endParaRPr altLang="en-US"/>
                  </a:p>
                </c:rich>
              </c:tx>
              <c:dLblPos val="outEnd"/>
              <c:showVal val="1"/>
              <c:extLst>
                <c:ext xmlns:c15="http://schemas.microsoft.com/office/drawing/2012/chart" uri="{CE6537A1-D6FC-4f65-9D91-7224C49458BB}"/>
              </c:extLst>
            </c:dLbl>
            <c:dLbl>
              <c:idx val="2"/>
              <c:tx>
                <c:rich>
                  <a:bodyPr/>
                  <a:lstStyle/>
                  <a:p>
                    <a:r>
                      <a:rPr lang="en-US" altLang="en-US"/>
                      <a:t>cC</a:t>
                    </a:r>
                    <a:r>
                      <a:rPr altLang="en-US"/>
                      <a:t> </a:t>
                    </a:r>
                  </a:p>
                </c:rich>
              </c:tx>
              <c:dLblPos val="outEnd"/>
              <c:showVal val="1"/>
              <c:extLst>
                <c:ext xmlns:c15="http://schemas.microsoft.com/office/drawing/2012/chart" uri="{CE6537A1-D6FC-4f65-9D91-7224C49458BB}"/>
              </c:extLst>
            </c:dLbl>
            <c:dLbl>
              <c:idx val="3"/>
              <c:tx>
                <c:rich>
                  <a:bodyPr/>
                  <a:lstStyle/>
                  <a:p>
                    <a:r>
                      <a:rPr lang="en-US" altLang="en-US"/>
                      <a:t>cC</a:t>
                    </a:r>
                    <a:r>
                      <a:rPr altLang="en-US"/>
                      <a:t> </a:t>
                    </a:r>
                  </a:p>
                </c:rich>
              </c:tx>
              <c:dLblPos val="outEnd"/>
              <c:showVal val="1"/>
              <c:extLst>
                <c:ext xmlns:c15="http://schemas.microsoft.com/office/drawing/2012/chart" uri="{CE6537A1-D6FC-4f65-9D91-7224C49458BB}"/>
              </c:extLst>
            </c:dLbl>
            <c:dLbl>
              <c:idx val="4"/>
              <c:tx>
                <c:rich>
                  <a:bodyPr/>
                  <a:lstStyle/>
                  <a:p>
                    <a:r>
                      <a:rPr lang="en-US" altLang="en-US"/>
                      <a:t>bB</a:t>
                    </a:r>
                    <a:r>
                      <a:rPr altLang="en-US"/>
                      <a:t> </a:t>
                    </a:r>
                  </a:p>
                </c:rich>
              </c:tx>
              <c:dLblPos val="outEnd"/>
              <c:showVal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rgbClr val="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errBars>
            <c:errBarType val="both"/>
            <c:errValType val="cust"/>
            <c:plus>
              <c:numRef>
                <c:f>'[横板桥、宁乡试验数据(1)(2).xlsx]Sheet4'!$B$32:$F$32</c:f>
                <c:numCache>
                  <c:formatCode>General</c:formatCode>
                  <c:ptCount val="5"/>
                  <c:pt idx="0">
                    <c:v>1.3858999999999997</c:v>
                  </c:pt>
                  <c:pt idx="1">
                    <c:v>1.3936199999999999</c:v>
                  </c:pt>
                  <c:pt idx="2">
                    <c:v>1.3307500000000001</c:v>
                  </c:pt>
                  <c:pt idx="3">
                    <c:v>1.2858999999999996</c:v>
                  </c:pt>
                  <c:pt idx="4">
                    <c:v>1.1962000000000004</c:v>
                  </c:pt>
                </c:numCache>
              </c:numRef>
            </c:plus>
            <c:minus>
              <c:numRef>
                <c:f>'[横板桥、宁乡试验数据(1)(2).xlsx]Sheet4'!$B$32:$F$32</c:f>
                <c:numCache>
                  <c:formatCode>General</c:formatCode>
                  <c:ptCount val="5"/>
                  <c:pt idx="0">
                    <c:v>1.3858999999999997</c:v>
                  </c:pt>
                  <c:pt idx="1">
                    <c:v>1.3936199999999999</c:v>
                  </c:pt>
                  <c:pt idx="2">
                    <c:v>1.3307500000000001</c:v>
                  </c:pt>
                  <c:pt idx="3">
                    <c:v>1.2858999999999996</c:v>
                  </c:pt>
                  <c:pt idx="4">
                    <c:v>1.1962000000000004</c:v>
                  </c:pt>
                </c:numCache>
              </c:numRef>
            </c:minus>
            <c:spPr>
              <a:ln w="19050" cap="flat" cmpd="sng" algn="ctr">
                <a:solidFill>
                  <a:sysClr val="windowText" lastClr="000000"/>
                </a:solidFill>
                <a:prstDash val="solid"/>
                <a:round/>
              </a:ln>
            </c:spPr>
          </c:errBars>
          <c:cat>
            <c:strRef>
              <c:f>'[横板桥、宁乡试验数据(1)(2).xlsx]Sheet4'!$C$3:$G$3</c:f>
              <c:strCache>
                <c:ptCount val="5"/>
                <c:pt idx="0">
                  <c:v>移栽期</c:v>
                </c:pt>
                <c:pt idx="1">
                  <c:v>团棵期</c:v>
                </c:pt>
                <c:pt idx="2">
                  <c:v>旺长期</c:v>
                </c:pt>
                <c:pt idx="3">
                  <c:v>打顶期</c:v>
                </c:pt>
                <c:pt idx="4">
                  <c:v>成熟期</c:v>
                </c:pt>
              </c:strCache>
            </c:strRef>
          </c:cat>
          <c:val>
            <c:numRef>
              <c:f>'[横板桥、宁乡试验数据(1)(2).xlsx]Sheet4'!$C$6:$G$6</c:f>
              <c:numCache>
                <c:formatCode>0.00_ </c:formatCode>
                <c:ptCount val="5"/>
                <c:pt idx="0">
                  <c:v>9.2000000000000011</c:v>
                </c:pt>
                <c:pt idx="1">
                  <c:v>14.9333333333333</c:v>
                </c:pt>
                <c:pt idx="2">
                  <c:v>26.5</c:v>
                </c:pt>
                <c:pt idx="3">
                  <c:v>18</c:v>
                </c:pt>
                <c:pt idx="4">
                  <c:v>10.3333333333333</c:v>
                </c:pt>
              </c:numCache>
            </c:numRef>
          </c:val>
        </c:ser>
        <c:ser>
          <c:idx val="3"/>
          <c:order val="3"/>
          <c:tx>
            <c:strRef>
              <c:f>'[横板桥、宁乡试验数据(1)(2).xlsx]Sheet4'!$B$7</c:f>
              <c:strCache>
                <c:ptCount val="1"/>
                <c:pt idx="0">
                  <c:v>处理3</c:v>
                </c:pt>
              </c:strCache>
            </c:strRef>
          </c:tx>
          <c:spPr>
            <a:pattFill prst="dashVert">
              <a:fgClr>
                <a:srgbClr val="000000"/>
              </a:fgClr>
              <a:bgClr>
                <a:srgbClr val="FFFFFF"/>
              </a:bgClr>
            </a:pattFill>
            <a:ln>
              <a:solidFill>
                <a:srgbClr val="000000"/>
              </a:solidFill>
            </a:ln>
            <a:effectLst/>
          </c:spPr>
          <c:dLbls>
            <c:dLbl>
              <c:idx val="0"/>
              <c:tx>
                <c:rich>
                  <a:bodyPr/>
                  <a:lstStyle/>
                  <a:p>
                    <a:r>
                      <a:rPr lang="en-US" altLang="en-US"/>
                      <a:t>aA</a:t>
                    </a:r>
                    <a:r>
                      <a:rPr altLang="en-US"/>
                      <a:t> </a:t>
                    </a:r>
                  </a:p>
                </c:rich>
              </c:tx>
              <c:dLblPos val="outEnd"/>
              <c:showVal val="1"/>
              <c:extLst>
                <c:ext xmlns:c15="http://schemas.microsoft.com/office/drawing/2012/chart" uri="{CE6537A1-D6FC-4f65-9D91-7224C49458BB}"/>
              </c:extLst>
            </c:dLbl>
            <c:dLbl>
              <c:idx val="1"/>
              <c:tx>
                <c:rich>
                  <a:bodyPr/>
                  <a:lstStyle/>
                  <a:p>
                    <a:r>
                      <a:rPr lang="en-US" altLang="en-US"/>
                      <a:t>aA</a:t>
                    </a:r>
                    <a:r>
                      <a:rPr altLang="en-US"/>
                      <a:t> </a:t>
                    </a:r>
                  </a:p>
                </c:rich>
              </c:tx>
              <c:dLblPos val="outEnd"/>
              <c:showVal val="1"/>
              <c:extLst>
                <c:ext xmlns:c15="http://schemas.microsoft.com/office/drawing/2012/chart" uri="{CE6537A1-D6FC-4f65-9D91-7224C49458BB}"/>
              </c:extLst>
            </c:dLbl>
            <c:dLbl>
              <c:idx val="2"/>
              <c:tx>
                <c:rich>
                  <a:bodyPr/>
                  <a:lstStyle/>
                  <a:p>
                    <a:r>
                      <a:rPr lang="en-US" altLang="en-US"/>
                      <a:t>aA</a:t>
                    </a:r>
                    <a:r>
                      <a:rPr altLang="en-US"/>
                      <a:t> </a:t>
                    </a:r>
                  </a:p>
                </c:rich>
              </c:tx>
              <c:dLblPos val="outEnd"/>
              <c:showVal val="1"/>
              <c:extLst>
                <c:ext xmlns:c15="http://schemas.microsoft.com/office/drawing/2012/chart" uri="{CE6537A1-D6FC-4f65-9D91-7224C49458BB}"/>
              </c:extLst>
            </c:dLbl>
            <c:dLbl>
              <c:idx val="3"/>
              <c:tx>
                <c:rich>
                  <a:bodyPr/>
                  <a:lstStyle/>
                  <a:p>
                    <a:r>
                      <a:rPr lang="en-US" altLang="en-US"/>
                      <a:t>aA</a:t>
                    </a:r>
                    <a:endParaRPr altLang="en-US"/>
                  </a:p>
                </c:rich>
              </c:tx>
              <c:dLblPos val="outEnd"/>
              <c:showVal val="1"/>
              <c:extLst>
                <c:ext xmlns:c15="http://schemas.microsoft.com/office/drawing/2012/chart" uri="{CE6537A1-D6FC-4f65-9D91-7224C49458BB}"/>
              </c:extLst>
            </c:dLbl>
            <c:dLbl>
              <c:idx val="4"/>
              <c:tx>
                <c:rich>
                  <a:bodyPr/>
                  <a:lstStyle/>
                  <a:p>
                    <a:r>
                      <a:rPr lang="en-US" altLang="en-US"/>
                      <a:t>aA</a:t>
                    </a:r>
                    <a:endParaRPr altLang="en-US"/>
                  </a:p>
                </c:rich>
              </c:tx>
              <c:dLblPos val="outEnd"/>
              <c:showVal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rgbClr val="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errBars>
            <c:errBarType val="both"/>
            <c:errValType val="cust"/>
            <c:plus>
              <c:numRef>
                <c:f>'[横板桥、宁乡试验数据(1)(2).xlsx]Sheet4'!$B$33:$F$33</c:f>
                <c:numCache>
                  <c:formatCode>General</c:formatCode>
                  <c:ptCount val="5"/>
                  <c:pt idx="0">
                    <c:v>1.2187999999999997</c:v>
                  </c:pt>
                  <c:pt idx="1">
                    <c:v>1.4830999999999996</c:v>
                  </c:pt>
                  <c:pt idx="2">
                    <c:v>1.5658999999999996</c:v>
                  </c:pt>
                  <c:pt idx="3">
                    <c:v>1.2187999999999997</c:v>
                  </c:pt>
                  <c:pt idx="4">
                    <c:v>1.4529999999999996</c:v>
                  </c:pt>
                </c:numCache>
              </c:numRef>
            </c:plus>
            <c:minus>
              <c:numRef>
                <c:f>'[横板桥、宁乡试验数据(1)(2).xlsx]Sheet4'!$B$33:$F$33</c:f>
                <c:numCache>
                  <c:formatCode>General</c:formatCode>
                  <c:ptCount val="5"/>
                  <c:pt idx="0">
                    <c:v>1.2187999999999997</c:v>
                  </c:pt>
                  <c:pt idx="1">
                    <c:v>1.4830999999999996</c:v>
                  </c:pt>
                  <c:pt idx="2">
                    <c:v>1.5658999999999996</c:v>
                  </c:pt>
                  <c:pt idx="3">
                    <c:v>1.2187999999999997</c:v>
                  </c:pt>
                  <c:pt idx="4">
                    <c:v>1.4529999999999996</c:v>
                  </c:pt>
                </c:numCache>
              </c:numRef>
            </c:minus>
            <c:spPr>
              <a:ln w="19050" cap="flat" cmpd="sng" algn="ctr">
                <a:solidFill>
                  <a:srgbClr val="000000"/>
                </a:solidFill>
                <a:prstDash val="solid"/>
                <a:round/>
              </a:ln>
            </c:spPr>
          </c:errBars>
          <c:cat>
            <c:strRef>
              <c:f>'[横板桥、宁乡试验数据(1)(2).xlsx]Sheet4'!$C$3:$G$3</c:f>
              <c:strCache>
                <c:ptCount val="5"/>
                <c:pt idx="0">
                  <c:v>移栽期</c:v>
                </c:pt>
                <c:pt idx="1">
                  <c:v>团棵期</c:v>
                </c:pt>
                <c:pt idx="2">
                  <c:v>旺长期</c:v>
                </c:pt>
                <c:pt idx="3">
                  <c:v>打顶期</c:v>
                </c:pt>
                <c:pt idx="4">
                  <c:v>成熟期</c:v>
                </c:pt>
              </c:strCache>
            </c:strRef>
          </c:cat>
          <c:val>
            <c:numRef>
              <c:f>'[横板桥、宁乡试验数据(1)(2).xlsx]Sheet4'!$C$7:$G$7</c:f>
              <c:numCache>
                <c:formatCode>0.00_ </c:formatCode>
                <c:ptCount val="5"/>
                <c:pt idx="0">
                  <c:v>12.266666666666703</c:v>
                </c:pt>
                <c:pt idx="1">
                  <c:v>18.766666666666694</c:v>
                </c:pt>
                <c:pt idx="2">
                  <c:v>38</c:v>
                </c:pt>
                <c:pt idx="3">
                  <c:v>28.6666666666667</c:v>
                </c:pt>
                <c:pt idx="4">
                  <c:v>14</c:v>
                </c:pt>
              </c:numCache>
            </c:numRef>
          </c:val>
        </c:ser>
        <c:dLbls>
          <c:showVal val="1"/>
        </c:dLbls>
        <c:gapWidth val="219"/>
        <c:overlap val="-27"/>
        <c:axId val="268349440"/>
        <c:axId val="268351360"/>
      </c:barChart>
      <c:catAx>
        <c:axId val="268349440"/>
        <c:scaling>
          <c:orientation val="minMax"/>
        </c:scaling>
        <c:axPos val="b"/>
        <c:title>
          <c:tx>
            <c:rich>
              <a:bodyPr rot="0" spcFirstLastPara="0" vertOverflow="ellipsis" vert="horz" wrap="square" anchor="ctr" anchorCtr="1"/>
              <a:lstStyle/>
              <a:p>
                <a:pPr>
                  <a:defRPr lang="zh-CN" sz="1000" b="1" i="0" u="none" strike="noStrike" kern="1200" baseline="0">
                    <a:solidFill>
                      <a:srgbClr val="000000"/>
                    </a:solidFill>
                    <a:latin typeface="+mn-lt"/>
                    <a:ea typeface="+mn-ea"/>
                    <a:cs typeface="+mn-cs"/>
                  </a:defRPr>
                </a:pPr>
                <a:r>
                  <a:rPr lang="zh-CN" altLang="en-US"/>
                  <a:t>烤烟大田生育期</a:t>
                </a:r>
                <a:endParaRPr altLang="en-US"/>
              </a:p>
            </c:rich>
          </c:tx>
        </c:title>
        <c:majorTickMark val="none"/>
        <c:tickLblPos val="nextTo"/>
        <c:spPr>
          <a:noFill/>
          <a:ln w="19050" cap="flat" cmpd="sng" algn="ctr">
            <a:solidFill>
              <a:srgbClr val="000000"/>
            </a:solidFill>
            <a:prstDash val="solid"/>
            <a:round/>
          </a:ln>
          <a:effectLst/>
        </c:spPr>
        <c:txPr>
          <a:bodyPr rot="-60000000" spcFirstLastPara="0" vertOverflow="ellipsis" vert="horz" wrap="square" anchor="ctr" anchorCtr="1"/>
          <a:lstStyle/>
          <a:p>
            <a:pPr>
              <a:defRPr lang="zh-CN" sz="1000" b="1" i="0" u="none" strike="noStrike" kern="1200" baseline="0">
                <a:solidFill>
                  <a:srgbClr val="000000"/>
                </a:solidFill>
                <a:latin typeface="+mn-lt"/>
                <a:ea typeface="+mn-ea"/>
                <a:cs typeface="+mn-cs"/>
              </a:defRPr>
            </a:pPr>
            <a:endParaRPr lang="zh-CN"/>
          </a:p>
        </c:txPr>
        <c:crossAx val="268351360"/>
        <c:crosses val="autoZero"/>
        <c:auto val="1"/>
        <c:lblAlgn val="ctr"/>
        <c:lblOffset val="100"/>
      </c:catAx>
      <c:valAx>
        <c:axId val="268351360"/>
        <c:scaling>
          <c:orientation val="minMax"/>
        </c:scaling>
        <c:axPos val="l"/>
        <c:title>
          <c:tx>
            <c:rich>
              <a:bodyPr rot="-5400000" spcFirstLastPara="0" vertOverflow="ellipsis" vert="horz" wrap="square" anchor="ctr" anchorCtr="1"/>
              <a:lstStyle/>
              <a:p>
                <a:pPr>
                  <a:defRPr lang="zh-CN" sz="1000" b="1" i="0" u="none" strike="noStrike" kern="1200" baseline="0">
                    <a:solidFill>
                      <a:srgbClr val="000000"/>
                    </a:solidFill>
                    <a:latin typeface="+mn-lt"/>
                    <a:ea typeface="+mn-ea"/>
                    <a:cs typeface="+mn-cs"/>
                  </a:defRPr>
                </a:pPr>
                <a:r>
                  <a:rPr lang="en-US" altLang="zh-CN" sz="1000" b="1" i="0" baseline="0"/>
                  <a:t>GR/(μmol·g</a:t>
                </a:r>
                <a:r>
                  <a:rPr lang="en-US" altLang="zh-CN" sz="1000" b="1" i="0" baseline="30000">
                    <a:solidFill>
                      <a:srgbClr val="000000"/>
                    </a:solidFill>
                    <a:uFillTx/>
                  </a:rPr>
                  <a:t>-1</a:t>
                </a:r>
                <a:r>
                  <a:rPr lang="en-US" altLang="zh-CN" sz="1000" b="1" i="0" baseline="0"/>
                  <a:t>·min</a:t>
                </a:r>
                <a:r>
                  <a:rPr lang="en-US" altLang="zh-CN" sz="1000" b="1" i="0" baseline="30000">
                    <a:solidFill>
                      <a:srgbClr val="000000"/>
                    </a:solidFill>
                    <a:uFillTx/>
                  </a:rPr>
                  <a:t>-1</a:t>
                </a:r>
                <a:r>
                  <a:rPr lang="en-US" altLang="zh-CN" sz="1000" b="1" i="0" baseline="0"/>
                  <a:t>)</a:t>
                </a:r>
                <a:endParaRPr lang="zh-CN" altLang="zh-CN" sz="1000" b="1" i="0" baseline="0"/>
              </a:p>
            </c:rich>
          </c:tx>
          <c:layout>
            <c:manualLayout>
              <c:xMode val="edge"/>
              <c:yMode val="edge"/>
              <c:x val="1.3763046220896901E-2"/>
              <c:y val="0.17096254958421506"/>
            </c:manualLayout>
          </c:layout>
        </c:title>
        <c:numFmt formatCode="#,##0;\-#,##0" sourceLinked="0"/>
        <c:majorTickMark val="in"/>
        <c:tickLblPos val="nextTo"/>
        <c:spPr>
          <a:noFill/>
          <a:ln w="19050" cap="flat" cmpd="sng" algn="ctr">
            <a:solidFill>
              <a:sysClr val="windowText" lastClr="000000"/>
            </a:solidFill>
            <a:prstDash val="solid"/>
            <a:round/>
          </a:ln>
          <a:effectLst/>
        </c:spPr>
        <c:txPr>
          <a:bodyPr rot="-60000000" spcFirstLastPara="0" vertOverflow="ellipsis" vert="horz" wrap="square" anchor="ctr" anchorCtr="1"/>
          <a:lstStyle/>
          <a:p>
            <a:pPr>
              <a:defRPr lang="zh-CN" sz="1000" b="1" i="0" u="none" strike="noStrike" kern="1200" baseline="0">
                <a:solidFill>
                  <a:srgbClr val="000000"/>
                </a:solidFill>
                <a:latin typeface="+mn-lt"/>
                <a:ea typeface="+mn-ea"/>
                <a:cs typeface="+mn-cs"/>
              </a:defRPr>
            </a:pPr>
            <a:endParaRPr lang="zh-CN"/>
          </a:p>
        </c:txPr>
        <c:crossAx val="268349440"/>
        <c:crosses val="autoZero"/>
        <c:crossBetween val="between"/>
      </c:valAx>
      <c:spPr>
        <a:noFill/>
        <a:ln>
          <a:noFill/>
        </a:ln>
        <a:effectLst/>
      </c:spPr>
    </c:plotArea>
    <c:legend>
      <c:legendPos val="b"/>
      <c:layout>
        <c:manualLayout>
          <c:xMode val="edge"/>
          <c:yMode val="edge"/>
          <c:x val="0.114424196229973"/>
          <c:y val="2.8679000076446803E-2"/>
          <c:w val="0.83537915657090622"/>
          <c:h val="9.2140848898741995E-2"/>
        </c:manualLayout>
      </c:layout>
      <c:spPr>
        <a:noFill/>
        <a:ln>
          <a:noFill/>
        </a:ln>
        <a:effectLst/>
      </c:spPr>
      <c:txPr>
        <a:bodyPr rot="0" spcFirstLastPara="0" vertOverflow="ellipsis" vert="horz" wrap="square" anchor="ctr" anchorCtr="1"/>
        <a:lstStyle/>
        <a:p>
          <a:pPr>
            <a:defRPr lang="zh-CN" sz="1000" b="1" i="0" u="none" strike="noStrike" kern="1200" baseline="0">
              <a:solidFill>
                <a:srgbClr val="000000"/>
              </a:solidFill>
              <a:latin typeface="+mn-lt"/>
              <a:ea typeface="+mn-ea"/>
              <a:cs typeface="+mn-cs"/>
            </a:defRPr>
          </a:pPr>
          <a:endParaRPr lang="zh-CN"/>
        </a:p>
      </c:txPr>
    </c:legend>
    <c:plotVisOnly val="1"/>
    <c:dispBlanksAs val="gap"/>
  </c:chart>
  <c:spPr>
    <a:solidFill>
      <a:srgbClr val="FFFFFF"/>
    </a:solidFill>
    <a:ln w="9525" cap="flat" cmpd="sng" algn="ctr">
      <a:solidFill>
        <a:srgbClr val="D9D9D9">
          <a:lumMod val="15000"/>
          <a:lumOff val="85000"/>
        </a:srgbClr>
      </a:solidFill>
      <a:prstDash val="solid"/>
      <a:round/>
    </a:ln>
    <a:effectLst/>
  </c:spPr>
  <c:txPr>
    <a:bodyPr/>
    <a:lstStyle/>
    <a:p>
      <a:pPr>
        <a:defRPr lang="zh-CN" b="1" i="0" baseline="0"/>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753</Words>
  <Characters>4297</Characters>
  <Application>Microsoft Office Word</Application>
  <DocSecurity>0</DocSecurity>
  <Lines>35</Lines>
  <Paragraphs>10</Paragraphs>
  <ScaleCrop>false</ScaleCrop>
  <Company>Microsoft</Company>
  <LinksUpToDate>false</LinksUpToDate>
  <CharactersWithSpaces>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2018-04-27T06:33:00Z</dcterms:created>
  <dcterms:modified xsi:type="dcterms:W3CDTF">2018-04-27T06:33:00Z</dcterms:modified>
</cp:coreProperties>
</file>